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EDITAL DE CHAMAMENTO PÚBLICO PNAB/SL Nº 02/2026 – MULTILINGUAGENS CULTURAIS</w:t>
      </w:r>
    </w:p>
    <w:p w:rsidR="00000000" w:rsidDel="00000000" w:rsidP="00000000" w:rsidRDefault="00000000" w:rsidRPr="00000000" w14:paraId="00000002">
      <w:pPr>
        <w:spacing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SELEÇÃO DE PROJETOS PARA FIRMAR TERMO DE EXECUÇÃO CULTURAL COM RECURSOS DA POLÍTICA NACIONAL ALDIR BLANC DE FOMENTO À CULTURA – PNAB (LEI Nº 14.399/2022)</w:t>
      </w:r>
    </w:p>
    <w:p w:rsidR="00000000" w:rsidDel="00000000" w:rsidP="00000000" w:rsidRDefault="00000000" w:rsidRPr="00000000" w14:paraId="00000003">
      <w:pPr>
        <w:spacing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ANEXO I – CATEGORIAS</w:t>
      </w:r>
    </w:p>
    <w:p w:rsidR="00000000" w:rsidDel="00000000" w:rsidP="00000000" w:rsidRDefault="00000000" w:rsidRPr="00000000" w14:paraId="00000004">
      <w:pPr>
        <w:spacing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5">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1.</w:t>
        <w:tab/>
        <w:t xml:space="preserve">RECURSOS DO EDITAL</w:t>
      </w:r>
    </w:p>
    <w:p w:rsidR="00000000" w:rsidDel="00000000" w:rsidP="00000000" w:rsidRDefault="00000000" w:rsidRPr="00000000" w14:paraId="00000006">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1.1</w:t>
        <w:tab/>
        <w:t xml:space="preserve">O presente edital possui valor total de R$ 266.235,32 (duzentos e sessenta e seis mil, duzentos e trinta e cinco reais e trinta e dois centavos) distribuídos e apoio financeiro de até R$ 10. 239,82 (dez mil, duzentos e trinta e nove reais e oitenta e dois centavos para cada um dos 26 (vinte e seis) projetos contemplados.</w:t>
      </w:r>
    </w:p>
    <w:p w:rsidR="00000000" w:rsidDel="00000000" w:rsidP="00000000" w:rsidRDefault="00000000" w:rsidRPr="00000000" w14:paraId="00000007">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1.2</w:t>
        <w:tab/>
        <w:t xml:space="preserve">Os projetos apoiados por meio deste edital poderão possuir objeto relacionado diretamente com 1 (um) os seguintes segmentos:</w:t>
      </w:r>
    </w:p>
    <w:p w:rsidR="00000000" w:rsidDel="00000000" w:rsidP="00000000" w:rsidRDefault="00000000" w:rsidRPr="00000000" w14:paraId="00000008">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I.</w:t>
        <w:tab/>
        <w:t xml:space="preserve">Acervos;</w:t>
      </w:r>
    </w:p>
    <w:p w:rsidR="00000000" w:rsidDel="00000000" w:rsidP="00000000" w:rsidRDefault="00000000" w:rsidRPr="00000000" w14:paraId="00000009">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II.</w:t>
        <w:tab/>
        <w:t xml:space="preserve">Arquivos;</w:t>
      </w:r>
    </w:p>
    <w:p w:rsidR="00000000" w:rsidDel="00000000" w:rsidP="00000000" w:rsidRDefault="00000000" w:rsidRPr="00000000" w14:paraId="0000000A">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III.</w:t>
        <w:tab/>
        <w:t xml:space="preserve">Artes visuais;</w:t>
      </w:r>
    </w:p>
    <w:p w:rsidR="00000000" w:rsidDel="00000000" w:rsidP="00000000" w:rsidRDefault="00000000" w:rsidRPr="00000000" w14:paraId="0000000B">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IV.</w:t>
        <w:tab/>
        <w:t xml:space="preserve">Artesanato;</w:t>
      </w:r>
    </w:p>
    <w:p w:rsidR="00000000" w:rsidDel="00000000" w:rsidP="00000000" w:rsidRDefault="00000000" w:rsidRPr="00000000" w14:paraId="0000000C">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V.</w:t>
        <w:tab/>
        <w:t xml:space="preserve">Audiovisual;</w:t>
      </w:r>
    </w:p>
    <w:p w:rsidR="00000000" w:rsidDel="00000000" w:rsidP="00000000" w:rsidRDefault="00000000" w:rsidRPr="00000000" w14:paraId="0000000D">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VI.</w:t>
        <w:tab/>
        <w:t xml:space="preserve">Capoeira;</w:t>
      </w:r>
    </w:p>
    <w:p w:rsidR="00000000" w:rsidDel="00000000" w:rsidP="00000000" w:rsidRDefault="00000000" w:rsidRPr="00000000" w14:paraId="0000000E">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VII.</w:t>
        <w:tab/>
        <w:t xml:space="preserve">Circo;</w:t>
      </w:r>
    </w:p>
    <w:p w:rsidR="00000000" w:rsidDel="00000000" w:rsidP="00000000" w:rsidRDefault="00000000" w:rsidRPr="00000000" w14:paraId="0000000F">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VIII.</w:t>
        <w:tab/>
        <w:t xml:space="preserve">Cultura de Matriz Africana;</w:t>
      </w:r>
    </w:p>
    <w:p w:rsidR="00000000" w:rsidDel="00000000" w:rsidP="00000000" w:rsidRDefault="00000000" w:rsidRPr="00000000" w14:paraId="00000010">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IX.</w:t>
        <w:tab/>
        <w:t xml:space="preserve">Cultura dos povos Originários;</w:t>
      </w:r>
    </w:p>
    <w:p w:rsidR="00000000" w:rsidDel="00000000" w:rsidP="00000000" w:rsidRDefault="00000000" w:rsidRPr="00000000" w14:paraId="00000011">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w:t>
        <w:tab/>
        <w:t xml:space="preserve">Culturas Populares e tradicionais;</w:t>
      </w:r>
    </w:p>
    <w:p w:rsidR="00000000" w:rsidDel="00000000" w:rsidP="00000000" w:rsidRDefault="00000000" w:rsidRPr="00000000" w14:paraId="00000012">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XI.</w:t>
        <w:tab/>
        <w:t xml:space="preserve">Dança;</w:t>
      </w:r>
    </w:p>
    <w:p w:rsidR="00000000" w:rsidDel="00000000" w:rsidP="00000000" w:rsidRDefault="00000000" w:rsidRPr="00000000" w14:paraId="00000013">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XII.</w:t>
        <w:tab/>
        <w:t xml:space="preserve">Design;</w:t>
      </w:r>
    </w:p>
    <w:p w:rsidR="00000000" w:rsidDel="00000000" w:rsidP="00000000" w:rsidRDefault="00000000" w:rsidRPr="00000000" w14:paraId="00000014">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XIII.</w:t>
        <w:tab/>
        <w:t xml:space="preserve">Festas e Celebrações;</w:t>
      </w:r>
    </w:p>
    <w:p w:rsidR="00000000" w:rsidDel="00000000" w:rsidP="00000000" w:rsidRDefault="00000000" w:rsidRPr="00000000" w14:paraId="00000015">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XIV.</w:t>
        <w:tab/>
        <w:t xml:space="preserve">Hip-hop;</w:t>
      </w:r>
    </w:p>
    <w:p w:rsidR="00000000" w:rsidDel="00000000" w:rsidP="00000000" w:rsidRDefault="00000000" w:rsidRPr="00000000" w14:paraId="00000016">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XV.</w:t>
        <w:tab/>
        <w:t xml:space="preserve">Jogos eletrônicos;</w:t>
      </w:r>
    </w:p>
    <w:p w:rsidR="00000000" w:rsidDel="00000000" w:rsidP="00000000" w:rsidRDefault="00000000" w:rsidRPr="00000000" w14:paraId="00000017">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XVI.</w:t>
        <w:tab/>
        <w:t xml:space="preserve">Moda;</w:t>
      </w:r>
    </w:p>
    <w:p w:rsidR="00000000" w:rsidDel="00000000" w:rsidP="00000000" w:rsidRDefault="00000000" w:rsidRPr="00000000" w14:paraId="00000018">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XVII.</w:t>
        <w:tab/>
        <w:t xml:space="preserve">Literatura, edição e produção editorial;</w:t>
      </w:r>
    </w:p>
    <w:p w:rsidR="00000000" w:rsidDel="00000000" w:rsidP="00000000" w:rsidRDefault="00000000" w:rsidRPr="00000000" w14:paraId="00000019">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XVIII.</w:t>
        <w:tab/>
        <w:t xml:space="preserve">Música eletrônica;</w:t>
      </w:r>
    </w:p>
    <w:p w:rsidR="00000000" w:rsidDel="00000000" w:rsidP="00000000" w:rsidRDefault="00000000" w:rsidRPr="00000000" w14:paraId="0000001A">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XIX.</w:t>
        <w:tab/>
        <w:t xml:space="preserve">Música erudita/de Concerto;</w:t>
      </w:r>
    </w:p>
    <w:p w:rsidR="00000000" w:rsidDel="00000000" w:rsidP="00000000" w:rsidRDefault="00000000" w:rsidRPr="00000000" w14:paraId="0000001B">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XX.</w:t>
        <w:tab/>
        <w:t xml:space="preserve">Música Popular;</w:t>
      </w:r>
    </w:p>
    <w:p w:rsidR="00000000" w:rsidDel="00000000" w:rsidP="00000000" w:rsidRDefault="00000000" w:rsidRPr="00000000" w14:paraId="0000001C">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XXI.</w:t>
        <w:tab/>
        <w:t xml:space="preserve">Música Vocal/Coral;</w:t>
      </w:r>
    </w:p>
    <w:p w:rsidR="00000000" w:rsidDel="00000000" w:rsidP="00000000" w:rsidRDefault="00000000" w:rsidRPr="00000000" w14:paraId="0000001D">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XXII.</w:t>
        <w:tab/>
        <w:t xml:space="preserve">Patrimônio Cultural Imaterial;</w:t>
      </w:r>
    </w:p>
    <w:p w:rsidR="00000000" w:rsidDel="00000000" w:rsidP="00000000" w:rsidRDefault="00000000" w:rsidRPr="00000000" w14:paraId="0000001E">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XXIII.</w:t>
        <w:tab/>
        <w:t xml:space="preserve">Performance; e</w:t>
      </w:r>
    </w:p>
    <w:p w:rsidR="00000000" w:rsidDel="00000000" w:rsidP="00000000" w:rsidRDefault="00000000" w:rsidRPr="00000000" w14:paraId="0000001F">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XXIV.</w:t>
        <w:tab/>
        <w:t xml:space="preserve">Teatro.</w:t>
      </w:r>
    </w:p>
    <w:p w:rsidR="00000000" w:rsidDel="00000000" w:rsidP="00000000" w:rsidRDefault="00000000" w:rsidRPr="00000000" w14:paraId="00000020">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1.3</w:t>
        <w:tab/>
        <w:t xml:space="preserve">Os segmentos constantes no subitem 1.2 não constituem categorias específicas neste edital.</w:t>
      </w:r>
    </w:p>
    <w:p w:rsidR="00000000" w:rsidDel="00000000" w:rsidP="00000000" w:rsidRDefault="00000000" w:rsidRPr="00000000" w14:paraId="00000021">
      <w:pPr>
        <w:spacing w:after="200" w:before="240" w:lineRule="auto"/>
        <w:jc w:val="both"/>
        <w:rPr>
          <w:rFonts w:ascii="Calibri" w:cs="Calibri" w:eastAsia="Calibri" w:hAnsi="Calibri"/>
          <w:color w:val="000000"/>
          <w:sz w:val="27"/>
          <w:szCs w:val="27"/>
        </w:rPr>
      </w:pPr>
      <w:r w:rsidDel="00000000" w:rsidR="00000000" w:rsidRPr="00000000">
        <w:rPr>
          <w:rtl w:val="0"/>
        </w:rPr>
      </w:r>
    </w:p>
    <w:p w:rsidR="00000000" w:rsidDel="00000000" w:rsidP="00000000" w:rsidRDefault="00000000" w:rsidRPr="00000000" w14:paraId="00000022">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w:t>
        <w:tab/>
        <w:t xml:space="preserve">DESCRIÇÃO DOS SEGMENTOS</w:t>
      </w:r>
    </w:p>
    <w:p w:rsidR="00000000" w:rsidDel="00000000" w:rsidP="00000000" w:rsidRDefault="00000000" w:rsidRPr="00000000" w14:paraId="00000023">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w:t>
        <w:tab/>
        <w:t xml:space="preserve">Para efeitos deste edital, entende-se como:</w:t>
      </w:r>
    </w:p>
    <w:p w:rsidR="00000000" w:rsidDel="00000000" w:rsidP="00000000" w:rsidRDefault="00000000" w:rsidRPr="00000000" w14:paraId="00000024">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w:t>
        <w:tab/>
        <w:tab/>
        <w:t xml:space="preserve">Acervos: Conjunto de bens, documentos, obras de arte ou objetos de valor (artístico, histórico, cultural) reunidos por uma pessoa ou instituição, formando um patrimônio.</w:t>
      </w:r>
    </w:p>
    <w:p w:rsidR="00000000" w:rsidDel="00000000" w:rsidP="00000000" w:rsidRDefault="00000000" w:rsidRPr="00000000" w14:paraId="00000025">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2.1.2</w:t>
        <w:tab/>
        <w:tab/>
        <w:t xml:space="preserve">Arquivos: Conjuntos de documentos produzidos ou recebidos, servindo como prova, informação e memória. Eles organizam registros, fotos, e dados em suportes variados.</w:t>
      </w:r>
    </w:p>
    <w:p w:rsidR="00000000" w:rsidDel="00000000" w:rsidP="00000000" w:rsidRDefault="00000000" w:rsidRPr="00000000" w14:paraId="00000026">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2.1.3</w:t>
        <w:tab/>
        <w:tab/>
        <w:t xml:space="preserve">Artes visuais: Conjunto de manifestações artísticas que se expressam através da visão, como pintura, escultura, desenho, fotografia, cinema, design, entre outras. A visão é a principal forma de apreensão e avaliação dessas obras, que buscam transmitir ideias, emoções e narrativas. As artes visuais abrangem diversas formas de expressão, desde as mais tradicionais, como a pintura e a escultura, até as mais modernas, como o design digital e as instalações multimídia.</w:t>
      </w:r>
    </w:p>
    <w:p w:rsidR="00000000" w:rsidDel="00000000" w:rsidP="00000000" w:rsidRDefault="00000000" w:rsidRPr="00000000" w14:paraId="00000027">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2.1.4</w:t>
        <w:tab/>
        <w:tab/>
        <w:t xml:space="preserve">Artesanato: A produção de objetos e artefatos, geralmente de forma manual ou com ferramentas tradicionais simples, valorizando a habilidade e a criatividade do artesão. Utiliza-se de matéria-prima e habilidades específicas. Valoriza a qualidade do artesão e a cultura local. O artesanato é um ofício ancestral que produz objetos pertencentes à cultura popular.</w:t>
      </w:r>
    </w:p>
    <w:p w:rsidR="00000000" w:rsidDel="00000000" w:rsidP="00000000" w:rsidRDefault="00000000" w:rsidRPr="00000000" w14:paraId="00000028">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2.1.5</w:t>
        <w:tab/>
        <w:tab/>
        <w:t xml:space="preserve">Audiovisual: Para efeitos deste edital, o termo audiovisual será entendido como sendo uma linguagem artística, criativa e que reúne diferentes elementos de imagem e som para contar uma história e não é apenas um suporte de filmagem.</w:t>
      </w:r>
    </w:p>
    <w:p w:rsidR="00000000" w:rsidDel="00000000" w:rsidP="00000000" w:rsidRDefault="00000000" w:rsidRPr="00000000" w14:paraId="00000029">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2.1.5.1 </w:t>
        <w:tab/>
        <w:t xml:space="preserve">O Audiovisual é uma linguagem artística que utiliza imagens em movimento para narrar histórias, construir símbolos, difundir costumes e enriquecer nosso repertório cultural.</w:t>
      </w:r>
    </w:p>
    <w:p w:rsidR="00000000" w:rsidDel="00000000" w:rsidP="00000000" w:rsidRDefault="00000000" w:rsidRPr="00000000" w14:paraId="0000002A">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2.1.5.2 </w:t>
        <w:tab/>
        <w:t xml:space="preserve">O Audiovisual é um produto da fixação ou transmissão de imagens, com ou sem som, que tenha a finalidade de criar a impressão de movimento, independentemente dos processos de captação, do suporte utilizado inicial ou posteriormente para fixá-las ou transmiti-las, ou dos meios utilizados para a sua veiculação, reprodução, transmissão ou difusão.</w:t>
      </w:r>
    </w:p>
    <w:p w:rsidR="00000000" w:rsidDel="00000000" w:rsidP="00000000" w:rsidRDefault="00000000" w:rsidRPr="00000000" w14:paraId="0000002B">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2.1.5.3 </w:t>
        <w:tab/>
        <w:t xml:space="preserve">O Audiovisual é uma criação artística ou narrativa que combina elementos visuais e sonoros para transmitir uma mensagem ou contar uma história. Essas obras utilizam técnicas cinematográficas, como a direção de fotografia, edição/montagem, trilha sonora e atuação.</w:t>
      </w:r>
    </w:p>
    <w:p w:rsidR="00000000" w:rsidDel="00000000" w:rsidP="00000000" w:rsidRDefault="00000000" w:rsidRPr="00000000" w14:paraId="0000002C">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2.1.6</w:t>
        <w:tab/>
        <w:tab/>
        <w:t xml:space="preserve">Capoeira: Para efeitos deste edital, o termo capoeira e entendido como prática que une o esporte, luta, filosofia, dança e música. A capoeira conta com a presença de instrumentos como berimbaus, atabaque, pandeiro, agogô, reco-reco e caxixi, fundamentais para ditar o ritmo e a harmonia da roda. </w:t>
      </w:r>
    </w:p>
    <w:p w:rsidR="00000000" w:rsidDel="00000000" w:rsidP="00000000" w:rsidRDefault="00000000" w:rsidRPr="00000000" w14:paraId="0000002D">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2.1.7</w:t>
        <w:tab/>
        <w:tab/>
        <w:t xml:space="preserve">Circo: O circo é uma manifestação artística e popular que consiste em um grupo de artistas, com habilidades distintas, que geralmente apresentam-se em shows itinerantes, ou seja, percorrendo várias cidades. Essas companhias circenses costumam integrar malabaristas, contorcionistas, mágicos, palhaços, trapezistas e outros personagens que buscam divertir e surpreender o público.</w:t>
      </w:r>
    </w:p>
    <w:p w:rsidR="00000000" w:rsidDel="00000000" w:rsidP="00000000" w:rsidRDefault="00000000" w:rsidRPr="00000000" w14:paraId="0000002E">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2.1.8 </w:t>
        <w:tab/>
        <w:tab/>
        <w:t xml:space="preserve">Cultura de Matriz Africana: Para efeitos deste edital, a cultura de matriz africana é entendida como um dos pilares da identidade nacional, formada a partir da resistência de povos que foram escravizados. Influencia fortemente a música, a culinária, a religiosidade, o vocabulário e a cultura de forma geral. Como por exemplo, o candomblé e a umbanda, no aspecto religioso; o acarajé, o vatapá, o caruru e a feijoada, no aspecto culinário; o samba, o maracatu, a congada, a capoeira e o xirê, nos aspectos da dança e da música.</w:t>
      </w:r>
    </w:p>
    <w:p w:rsidR="00000000" w:rsidDel="00000000" w:rsidP="00000000" w:rsidRDefault="00000000" w:rsidRPr="00000000" w14:paraId="0000002F">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2.1.9</w:t>
        <w:tab/>
        <w:tab/>
        <w:t xml:space="preserve">Cultura dos povos Originários: Conjunto de práticas, saberes, línguas e tradições ancestrais que habitavam o território sul americano antes da chegada dos portugueses onde hoje o Brasil está situado. Possui forte conexão com a natureza, a oralidade, a organização social coletiva. Inclui arte, plumária, pintura corporal, agricultura de subsistência e artesanato.</w:t>
      </w:r>
    </w:p>
    <w:p w:rsidR="00000000" w:rsidDel="00000000" w:rsidP="00000000" w:rsidRDefault="00000000" w:rsidRPr="00000000" w14:paraId="00000030">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2.1.10</w:t>
        <w:tab/>
        <w:t xml:space="preserve"> </w:t>
        <w:tab/>
        <w:t xml:space="preserve">Culturas Populares e tradicionais: englobam saberes, expressões e práticas transmitidas geracionalmente, fundamentais para a identidade de comunidades, como o samba, o forró, a capoeira, folias de reis, artesanato, maracatu, frevo, samba, capoeira, cordel, festas juninas, pratos típicos entre outros. São expressões criadas e participadas pelo povo, movendo-se de baixo para cima. Incluem o folclore, o modo de vida, línguas, rituais e crenças formando um conjunto dinâmico de saberes. Incluem, Comunidades Extrativistas, Comunidades Ribeirinhas, Comunidades Rurais, Indígenas, Povos Ciganos, Pescadores(as) Artesanais, Povos de Terreiro, Quilombolas, Seringueiros e outras. Para efeitos deste edital, serão considerados aquelas comunidades tradicionais e culturas populares que ocorrem no Município de Santa Luzia/MG.</w:t>
      </w:r>
    </w:p>
    <w:p w:rsidR="00000000" w:rsidDel="00000000" w:rsidP="00000000" w:rsidRDefault="00000000" w:rsidRPr="00000000" w14:paraId="00000031">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2.1.11</w:t>
        <w:tab/>
        <w:tab/>
        <w:t xml:space="preserve">Dança: Para efeitos deste Edital a dança será entendida como uma forma de expressão artística que utiliza o corpo para criar movimentos rítmicos, muitas vezes acompanhados por música ou sons. Ela pode ser uma forma de entretenimento, de expressão de emoções, ideias ou conceitos. A dança envolve elementos como movimento corporal, espaço e tempo, criando uma linguagem corporal única. A dança está presente em diversas culturas e tradições, refletindo os valores e crenças de cada sociedade.</w:t>
      </w:r>
    </w:p>
    <w:p w:rsidR="00000000" w:rsidDel="00000000" w:rsidP="00000000" w:rsidRDefault="00000000" w:rsidRPr="00000000" w14:paraId="00000032">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2.1.12 </w:t>
        <w:tab/>
        <w:t xml:space="preserve">Design: Para efeitos deste edital, design é entendido, mais especificamente, como um processo de pensamento que leva à concepção de um produto no que se refere à sua forma física e funcionalidade.</w:t>
      </w:r>
    </w:p>
    <w:p w:rsidR="00000000" w:rsidDel="00000000" w:rsidP="00000000" w:rsidRDefault="00000000" w:rsidRPr="00000000" w14:paraId="00000033">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2.1.13</w:t>
        <w:tab/>
        <w:tab/>
        <w:t xml:space="preserve">Festas e Celebrações: Para efeitos deste edital festas e celebrações serão entendidos como ritos coletivos, planejados ou tradicionais, que marcam datas importantes, fortalecendo a cultura, a memória e a identidade de um grupo. Elas funcionam como pausas no cotidiano para lazer, confraternização ou rituais religiosos ou profanos, frequentemente envolvendo música, dança, comidas típicas e símbolos específicos que unem os participantes.</w:t>
      </w:r>
    </w:p>
    <w:p w:rsidR="00000000" w:rsidDel="00000000" w:rsidP="00000000" w:rsidRDefault="00000000" w:rsidRPr="00000000" w14:paraId="00000034">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2.1.13.1</w:t>
        <w:tab/>
        <w:t xml:space="preserve">Para efeitos deste edital serão consideradas festas ou celebrações que abordem aspectos da arte e da cultura do Município de Santa Luzia/MG, ou que já tenham histórico de ocorrência no Município de Santa Luzia/MG.</w:t>
      </w:r>
    </w:p>
    <w:p w:rsidR="00000000" w:rsidDel="00000000" w:rsidP="00000000" w:rsidRDefault="00000000" w:rsidRPr="00000000" w14:paraId="00000035">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2.1.14</w:t>
        <w:tab/>
        <w:tab/>
        <w:t xml:space="preserve">Hip-hop: Para efeitos deste Edital o Hip-Hop será entendido como um movimento que surgiu como uma resposta à violência, à pobreza e à marginalização que afetavam as comunidades afro-americanas e latinas. Além da música, o movimento inclui também os elementos, como o Rap, a Dança, o Grafite e o DJing.</w:t>
      </w:r>
    </w:p>
    <w:p w:rsidR="00000000" w:rsidDel="00000000" w:rsidP="00000000" w:rsidRDefault="00000000" w:rsidRPr="00000000" w14:paraId="00000036">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2.1.15</w:t>
        <w:tab/>
        <w:tab/>
        <w:t xml:space="preserve">Jogos eletrônicos: Para efeitos deste edital, jogos eletrônicos são entendidos como formas de entretenimento interativo baseadas em software que funcionam através de dispositivos eletrônicos. Utilizam processamento de dados para criar experiências audiovisuais, permitindo ao jogador controlar ações por meio de periféricos, como controles, teclados ou telas sensíveis ao toque.</w:t>
      </w:r>
    </w:p>
    <w:p w:rsidR="00000000" w:rsidDel="00000000" w:rsidP="00000000" w:rsidRDefault="00000000" w:rsidRPr="00000000" w14:paraId="00000037">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2.1.16</w:t>
        <w:tab/>
        <w:tab/>
        <w:t xml:space="preserve">Literatura, edição e produção editorial:</w:t>
      </w:r>
    </w:p>
    <w:p w:rsidR="00000000" w:rsidDel="00000000" w:rsidP="00000000" w:rsidRDefault="00000000" w:rsidRPr="00000000" w14:paraId="00000038">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2.1.16.1</w:t>
        <w:tab/>
        <w:t xml:space="preserve">Para efeitos deste edital, literatura será entendida como sendo a utilização da linguagem como forma para expressar ideias, sentimentos e a realidade, transcendendo o uso puramente informativo, envolvendo obras escritas ou orais com valor artístico, como romances, poemas e peças, que exploram a imaginação e provocam reflexão, diferentemente de um texto comum, pois se preocupa com a forma e a beleza da construção textual.</w:t>
      </w:r>
    </w:p>
    <w:p w:rsidR="00000000" w:rsidDel="00000000" w:rsidP="00000000" w:rsidRDefault="00000000" w:rsidRPr="00000000" w14:paraId="00000039">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2.1.16.2</w:t>
        <w:tab/>
        <w:t xml:space="preserve">Para efeitos deste edital, edição e produção editorial, abrangem todo o ciclo de vida de uma publicação, desde a seleção de originais, revisão, preparação e diagramação até a impressão ou publicação digital. Envolve gerenciar o projeto, definindo aspectos visuais, técnicos e comerciais de livros, revistas ou materiais digitais para o público-alvo.</w:t>
      </w:r>
    </w:p>
    <w:p w:rsidR="00000000" w:rsidDel="00000000" w:rsidP="00000000" w:rsidRDefault="00000000" w:rsidRPr="00000000" w14:paraId="0000003A">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2.1.17</w:t>
        <w:tab/>
        <w:tab/>
        <w:t xml:space="preserve">Moda: Para efeitos deste edital, a moda será entendida como um fenômeno social e cultural de mudança cíclica nos costumes, hábitos, gostos e modos de vestir, coletivamente validado e adotado por um grupo em um determinado tempo e lugar que representa a cultura e os valores de uma sociedade.</w:t>
      </w:r>
    </w:p>
    <w:p w:rsidR="00000000" w:rsidDel="00000000" w:rsidP="00000000" w:rsidRDefault="00000000" w:rsidRPr="00000000" w14:paraId="0000003B">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2.1.17.1</w:t>
        <w:tab/>
        <w:t xml:space="preserve">O termo moda será entendido, especificamente, como a expressão de uma cultura que reflete diferentes facetas da personalidade e preferências de estilo, combinando conforto, sofisticação, ousadia ou delicadeza, podendo refletir, também, os movimentos de mudança históricas e sociais. Como um fenômeno social e cultural.</w:t>
      </w:r>
    </w:p>
    <w:p w:rsidR="00000000" w:rsidDel="00000000" w:rsidP="00000000" w:rsidRDefault="00000000" w:rsidRPr="00000000" w14:paraId="0000003C">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2.1.18</w:t>
        <w:tab/>
        <w:tab/>
        <w:t xml:space="preserve">Música: A música é uma forma de arte que se constitui na combinação de vários sons, timbres e ritmos.</w:t>
      </w:r>
    </w:p>
    <w:p w:rsidR="00000000" w:rsidDel="00000000" w:rsidP="00000000" w:rsidRDefault="00000000" w:rsidRPr="00000000" w14:paraId="0000003D">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2.1.18.1</w:t>
        <w:tab/>
        <w:t xml:space="preserve">Música eletrônica: Para efeitos deste edital, música eletrônica será entendida  como  qualquer  gênero  musical  criado  ou  modificado majoritariamente por meios tecnológicos e instrumentos eletrônicos, como sintetizadores, samplers, baterias eletrônicas e computadores.</w:t>
      </w:r>
    </w:p>
    <w:p w:rsidR="00000000" w:rsidDel="00000000" w:rsidP="00000000" w:rsidRDefault="00000000" w:rsidRPr="00000000" w14:paraId="0000003E">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2.1.18.2</w:t>
        <w:tab/>
        <w:t xml:space="preserve">Música erudita/de Concerto: Para efeitos deste edital, Música erudita, ou de concerto, será entendido como sendo um espectro de músicas que possuem estrutura escrita (partitura), de valor artístico e intelectual, geralmente executada em espaços fechados, de forma acústica. A música de concerto, que pode ser vocal ou instrumental, engloba músicas de variados estilos e períodos, como o barroco, o clássico, o romântico, o impressionismo, a música contemporânea, músicas populares, admitindo uma variedade de formações vocais ou instrumentais, como bandas, corais, madrigais e orquestras, por exemplo. É caracterizada pela sua complexidade e pela aplicação de princípios teóricos e técnicos bem determinados.</w:t>
      </w:r>
    </w:p>
    <w:p w:rsidR="00000000" w:rsidDel="00000000" w:rsidP="00000000" w:rsidRDefault="00000000" w:rsidRPr="00000000" w14:paraId="0000003F">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2.1.18.3</w:t>
        <w:tab/>
        <w:t xml:space="preserve">Música Popular: A música é uma forma de arte que se constitui na combinação de vários sons, timbres e ritmos. Para efeitos deste edital, música popular será entendida como sendo qualquer gênero musical acessível ao público em geral, ou de grande popularidade podendo ser, também, oriunda de expressões criadas e participadas pelo povo, movendo-se de baixo para cima.</w:t>
      </w:r>
    </w:p>
    <w:p w:rsidR="00000000" w:rsidDel="00000000" w:rsidP="00000000" w:rsidRDefault="00000000" w:rsidRPr="00000000" w14:paraId="00000040">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2.1.18.4</w:t>
        <w:tab/>
        <w:t xml:space="preserve">Música Vocal/Coral: Para efeitos deste edital música vocal/coral será entendida como sendo a prática de cantar em grupo (conjunto vocal), podendo envolver duas ou mais vozes autônomas divididas em naipes, ou em canto uníssono.</w:t>
      </w:r>
    </w:p>
    <w:p w:rsidR="00000000" w:rsidDel="00000000" w:rsidP="00000000" w:rsidRDefault="00000000" w:rsidRPr="00000000" w14:paraId="00000041">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2.1.19</w:t>
        <w:tab/>
        <w:tab/>
        <w:t xml:space="preserve">Patrimônio Cultural Imaterial: Para efeitos deste edital, o termo patrimônio cultural imaterial fará referência às práticas, aos saberes, às celebrações, às expressões artísticas e às tradições vivas transmitidas de geração em geração, fundamentais para a identidade de uma comunidade e reconhecidas como patrimônio imaterial cultural.</w:t>
      </w:r>
    </w:p>
    <w:p w:rsidR="00000000" w:rsidDel="00000000" w:rsidP="00000000" w:rsidRDefault="00000000" w:rsidRPr="00000000" w14:paraId="00000042">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2.1.20</w:t>
        <w:tab/>
        <w:tab/>
        <w:t xml:space="preserve">Performance: Para efeitos deste edital, a performance será entendida aqui como uma forma de arte que utiliza o corpo do artista como principal veículo de expressão, através de ações realizadas em público ou registradas em vídeo e fotografia. Esta forma de arte explora a interatividade com o público, desafiando as convenções tradicionais da arte e incentivando a reflexão sobre o contexto da arte e da sociedade.</w:t>
      </w:r>
    </w:p>
    <w:p w:rsidR="00000000" w:rsidDel="00000000" w:rsidP="00000000" w:rsidRDefault="00000000" w:rsidRPr="00000000" w14:paraId="00000043">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2.1.20.1</w:t>
        <w:tab/>
        <w:t xml:space="preserve">A arte performática é um termo que engloba diversas atividades artísticas, incluindo happenings, arte do corpo, ações, eventos e intervenções que se afastam da estrutura tradicional ou convencional do teatro, explorando novas formas de expressão e criação.</w:t>
      </w:r>
    </w:p>
    <w:p w:rsidR="00000000" w:rsidDel="00000000" w:rsidP="00000000" w:rsidRDefault="00000000" w:rsidRPr="00000000" w14:paraId="00000044">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2.1.20.2</w:t>
        <w:tab/>
        <w:t xml:space="preserve">A performance se diferencia do teatro tradicional pela sua rejeição de uma narrativa clara, pela utilização de estruturas aleatórias e pelo apelo direto ao público. A arte performática tem como características: Ações ao vivo, Interação com o público, Registro efêmero, Linguagem híbrida.</w:t>
      </w:r>
    </w:p>
    <w:p w:rsidR="00000000" w:rsidDel="00000000" w:rsidP="00000000" w:rsidRDefault="00000000" w:rsidRPr="00000000" w14:paraId="00000045">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2.1.21</w:t>
        <w:tab/>
        <w:tab/>
        <w:t xml:space="preserve">Teatro: Para efeitos deste edital o termo teatro será entendido como uma forma de arte envolvendo atores que interpretam personagens diante de um público. O teatro é utilizado para contar histórias, explorar temas e provocar emoções e reflexões nos espectadores. Entre alguns gêneros de teatro estão, a Leitura Dramática, o Teatro Infantil, o Teatro Musical, o Teatro Interativo, o Teatro Monólogo, o Teatro de Rua, o Teatro Lambe-Lambe, o Teatro de Fantoches e Marionetes e o Teatro de Sombras.</w:t>
      </w:r>
    </w:p>
    <w:p w:rsidR="00000000" w:rsidDel="00000000" w:rsidP="00000000" w:rsidRDefault="00000000" w:rsidRPr="00000000" w14:paraId="00000046">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2.2</w:t>
        <w:tab/>
        <w:t xml:space="preserve">Atenção! O agente cultural proponente é responsável pela adequação das criações e produções artísticas e culturais:</w:t>
      </w:r>
    </w:p>
    <w:p w:rsidR="00000000" w:rsidDel="00000000" w:rsidP="00000000" w:rsidRDefault="00000000" w:rsidRPr="00000000" w14:paraId="00000047">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a)</w:t>
        <w:tab/>
        <w:t xml:space="preserve">Ao contexto;</w:t>
      </w:r>
    </w:p>
    <w:p w:rsidR="00000000" w:rsidDel="00000000" w:rsidP="00000000" w:rsidRDefault="00000000" w:rsidRPr="00000000" w14:paraId="00000048">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b)</w:t>
        <w:tab/>
        <w:t xml:space="preserve">Ao local;</w:t>
      </w:r>
    </w:p>
    <w:p w:rsidR="00000000" w:rsidDel="00000000" w:rsidP="00000000" w:rsidRDefault="00000000" w:rsidRPr="00000000" w14:paraId="00000049">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c)</w:t>
        <w:tab/>
        <w:t xml:space="preserve">Às características étnicas, éticas e culturais do seu público;</w:t>
      </w:r>
    </w:p>
    <w:p w:rsidR="00000000" w:rsidDel="00000000" w:rsidP="00000000" w:rsidRDefault="00000000" w:rsidRPr="00000000" w14:paraId="0000004A">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d)</w:t>
        <w:tab/>
        <w:t xml:space="preserve">À faixa etária do seu público; e</w:t>
      </w:r>
    </w:p>
    <w:p w:rsidR="00000000" w:rsidDel="00000000" w:rsidP="00000000" w:rsidRDefault="00000000" w:rsidRPr="00000000" w14:paraId="0000004B">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e)</w:t>
        <w:tab/>
        <w:t xml:space="preserve">À legalidade e à razoabilidade.</w:t>
      </w:r>
    </w:p>
    <w:p w:rsidR="00000000" w:rsidDel="00000000" w:rsidP="00000000" w:rsidRDefault="00000000" w:rsidRPr="00000000" w14:paraId="0000004C">
      <w:pPr>
        <w:spacing w:after="200" w:before="240" w:lineRule="auto"/>
        <w:jc w:val="both"/>
        <w:rPr>
          <w:rFonts w:ascii="Calibri" w:cs="Calibri" w:eastAsia="Calibri" w:hAnsi="Calibri"/>
          <w:color w:val="000000"/>
          <w:sz w:val="27"/>
          <w:szCs w:val="27"/>
        </w:rPr>
      </w:pPr>
      <w:r w:rsidDel="00000000" w:rsidR="00000000" w:rsidRPr="00000000">
        <w:rPr>
          <w:rtl w:val="0"/>
        </w:rPr>
      </w:r>
    </w:p>
    <w:p w:rsidR="00000000" w:rsidDel="00000000" w:rsidP="00000000" w:rsidRDefault="00000000" w:rsidRPr="00000000" w14:paraId="0000004D">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w:t>
        <w:tab/>
        <w:t xml:space="preserve">DOS OBJETOS E DAS ETAPAS DO FAZER CULTURAL</w:t>
      </w:r>
    </w:p>
    <w:p w:rsidR="00000000" w:rsidDel="00000000" w:rsidP="00000000" w:rsidRDefault="00000000" w:rsidRPr="00000000" w14:paraId="0000004E">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3.1</w:t>
        <w:tab/>
        <w:t xml:space="preserve">Os objetos culturais deverão compreender, ao menos, 3 (três) das seguintes etapas do fazer cultural:</w:t>
      </w:r>
    </w:p>
    <w:p w:rsidR="00000000" w:rsidDel="00000000" w:rsidP="00000000" w:rsidRDefault="00000000" w:rsidRPr="00000000" w14:paraId="0000004F">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3.1.1</w:t>
        <w:tab/>
        <w:t xml:space="preserve">Criação;</w:t>
      </w:r>
    </w:p>
    <w:p w:rsidR="00000000" w:rsidDel="00000000" w:rsidP="00000000" w:rsidRDefault="00000000" w:rsidRPr="00000000" w14:paraId="00000050">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3.1.2</w:t>
        <w:tab/>
        <w:t xml:space="preserve">Produção;</w:t>
      </w:r>
    </w:p>
    <w:p w:rsidR="00000000" w:rsidDel="00000000" w:rsidP="00000000" w:rsidRDefault="00000000" w:rsidRPr="00000000" w14:paraId="00000051">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3.1.3</w:t>
        <w:tab/>
        <w:t xml:space="preserve">Comercialização e Distribuição; e</w:t>
      </w:r>
    </w:p>
    <w:p w:rsidR="00000000" w:rsidDel="00000000" w:rsidP="00000000" w:rsidRDefault="00000000" w:rsidRPr="00000000" w14:paraId="00000052">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3.1.4</w:t>
        <w:tab/>
        <w:t xml:space="preserve">Difusão e Circulação.</w:t>
      </w:r>
    </w:p>
    <w:p w:rsidR="00000000" w:rsidDel="00000000" w:rsidP="00000000" w:rsidRDefault="00000000" w:rsidRPr="00000000" w14:paraId="00000053">
      <w:pPr>
        <w:spacing w:after="200" w:before="240" w:lineRule="auto"/>
        <w:jc w:val="both"/>
        <w:rPr>
          <w:rFonts w:ascii="Calibri" w:cs="Calibri" w:eastAsia="Calibri" w:hAnsi="Calibri"/>
          <w:sz w:val="27"/>
          <w:szCs w:val="27"/>
        </w:rPr>
      </w:pPr>
      <w:r w:rsidDel="00000000" w:rsidR="00000000" w:rsidRPr="00000000">
        <w:rPr>
          <w:rtl w:val="0"/>
        </w:rPr>
      </w:r>
    </w:p>
    <w:p w:rsidR="00000000" w:rsidDel="00000000" w:rsidP="00000000" w:rsidRDefault="00000000" w:rsidRPr="00000000" w14:paraId="00000054">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w:t>
        <w:tab/>
        <w:t xml:space="preserve">Os objetos culturais poderão envolver:</w:t>
      </w:r>
    </w:p>
    <w:p w:rsidR="00000000" w:rsidDel="00000000" w:rsidP="00000000" w:rsidRDefault="00000000" w:rsidRPr="00000000" w14:paraId="00000055">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3.2.1</w:t>
        <w:tab/>
        <w:t xml:space="preserve">Produção de Single Musical:</w:t>
      </w:r>
    </w:p>
    <w:p w:rsidR="00000000" w:rsidDel="00000000" w:rsidP="00000000" w:rsidRDefault="00000000" w:rsidRPr="00000000" w14:paraId="00000056">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3.2.2</w:t>
        <w:tab/>
        <w:t xml:space="preserve">Produção audiovisual;</w:t>
      </w:r>
    </w:p>
    <w:p w:rsidR="00000000" w:rsidDel="00000000" w:rsidP="00000000" w:rsidRDefault="00000000" w:rsidRPr="00000000" w14:paraId="00000057">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3.2.3</w:t>
        <w:tab/>
        <w:t xml:space="preserve">Criação e Produção literária;</w:t>
      </w:r>
    </w:p>
    <w:p w:rsidR="00000000" w:rsidDel="00000000" w:rsidP="00000000" w:rsidRDefault="00000000" w:rsidRPr="00000000" w14:paraId="00000058">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3.2.4</w:t>
        <w:tab/>
        <w:t xml:space="preserve">Produção de cartilha;</w:t>
      </w:r>
    </w:p>
    <w:p w:rsidR="00000000" w:rsidDel="00000000" w:rsidP="00000000" w:rsidRDefault="00000000" w:rsidRPr="00000000" w14:paraId="00000059">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3.2.5</w:t>
        <w:tab/>
        <w:t xml:space="preserve">Produção de álbum fotográfico;</w:t>
      </w:r>
    </w:p>
    <w:p w:rsidR="00000000" w:rsidDel="00000000" w:rsidP="00000000" w:rsidRDefault="00000000" w:rsidRPr="00000000" w14:paraId="0000005A">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3.2.6</w:t>
        <w:tab/>
        <w:t xml:space="preserve">Produção de oficinas;</w:t>
      </w:r>
    </w:p>
    <w:p w:rsidR="00000000" w:rsidDel="00000000" w:rsidP="00000000" w:rsidRDefault="00000000" w:rsidRPr="00000000" w14:paraId="0000005B">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3.2.7</w:t>
        <w:tab/>
        <w:t xml:space="preserve">Produção de ações de conservação e preservação de arquivos ou acervos;</w:t>
      </w:r>
    </w:p>
    <w:p w:rsidR="00000000" w:rsidDel="00000000" w:rsidP="00000000" w:rsidRDefault="00000000" w:rsidRPr="00000000" w14:paraId="0000005C">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3.2.8</w:t>
        <w:tab/>
        <w:t xml:space="preserve">Produção de ações complementares à planos de salvaguarda; ou </w:t>
      </w:r>
    </w:p>
    <w:p w:rsidR="00000000" w:rsidDel="00000000" w:rsidP="00000000" w:rsidRDefault="00000000" w:rsidRPr="00000000" w14:paraId="0000005D">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3.2.9</w:t>
        <w:tab/>
        <w:t xml:space="preserve">Produção de outro produto artístico-cultural, desde que, por meio do qual se possa cumprir o disposto no subitem 3.1 deste Anexo.</w:t>
      </w:r>
    </w:p>
    <w:p w:rsidR="00000000" w:rsidDel="00000000" w:rsidP="00000000" w:rsidRDefault="00000000" w:rsidRPr="00000000" w14:paraId="0000005E">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3.3</w:t>
        <w:tab/>
        <w:t xml:space="preserve">Fica vedada a utilização de recursos de Inteligência Artificial (IA) nas etapas de criação e produção.</w:t>
      </w:r>
    </w:p>
    <w:p w:rsidR="00000000" w:rsidDel="00000000" w:rsidP="00000000" w:rsidRDefault="00000000" w:rsidRPr="00000000" w14:paraId="0000005F">
      <w:pPr>
        <w:spacing w:after="200" w:before="240" w:lineRule="auto"/>
        <w:jc w:val="both"/>
        <w:rPr>
          <w:rFonts w:ascii="Calibri" w:cs="Calibri" w:eastAsia="Calibri" w:hAnsi="Calibri"/>
          <w:color w:val="000000"/>
          <w:sz w:val="27"/>
          <w:szCs w:val="27"/>
        </w:rPr>
      </w:pPr>
      <w:r w:rsidDel="00000000" w:rsidR="00000000" w:rsidRPr="00000000">
        <w:rPr>
          <w:rFonts w:ascii="Calibri" w:cs="Calibri" w:eastAsia="Calibri" w:hAnsi="Calibri"/>
          <w:color w:val="000000"/>
          <w:sz w:val="27"/>
          <w:szCs w:val="27"/>
          <w:rtl w:val="0"/>
        </w:rPr>
        <w:t xml:space="preserve">3.4</w:t>
        <w:tab/>
        <w:t xml:space="preserve">O agente cultural proponente é responsável pela observância dos direitos autorais e dos direitos de imagem relacionados às etapas de execução do seu objeto, isentando </w:t>
      </w:r>
      <w:r w:rsidDel="00000000" w:rsidR="00000000" w:rsidRPr="00000000">
        <w:rPr>
          <w:rFonts w:ascii="Calibri" w:cs="Calibri" w:eastAsia="Calibri" w:hAnsi="Calibri"/>
          <w:sz w:val="27"/>
          <w:szCs w:val="27"/>
          <w:rtl w:val="0"/>
        </w:rPr>
        <w:t xml:space="preserve">a Prefeitura</w:t>
      </w:r>
      <w:r w:rsidDel="00000000" w:rsidR="00000000" w:rsidRPr="00000000">
        <w:rPr>
          <w:rFonts w:ascii="Calibri" w:cs="Calibri" w:eastAsia="Calibri" w:hAnsi="Calibri"/>
          <w:color w:val="000000"/>
          <w:sz w:val="27"/>
          <w:szCs w:val="27"/>
          <w:rtl w:val="0"/>
        </w:rPr>
        <w:t xml:space="preserve"> Municipal de Santa Luzia/MG de qualquer responsabilidade civil ou criminal.</w:t>
      </w:r>
    </w:p>
    <w:p w:rsidR="00000000" w:rsidDel="00000000" w:rsidP="00000000" w:rsidRDefault="00000000" w:rsidRPr="00000000" w14:paraId="00000060">
      <w:pPr>
        <w:spacing w:after="200" w:before="240" w:lineRule="auto"/>
        <w:jc w:val="both"/>
        <w:rPr>
          <w:rFonts w:ascii="Calibri" w:cs="Calibri" w:eastAsia="Calibri" w:hAnsi="Calibri"/>
          <w:color w:val="000000"/>
          <w:sz w:val="27"/>
          <w:szCs w:val="27"/>
        </w:rPr>
      </w:pPr>
      <w:r w:rsidDel="00000000" w:rsidR="00000000" w:rsidRPr="00000000">
        <w:rPr>
          <w:rtl w:val="0"/>
        </w:rPr>
      </w:r>
    </w:p>
    <w:p w:rsidR="00000000" w:rsidDel="00000000" w:rsidP="00000000" w:rsidRDefault="00000000" w:rsidRPr="00000000" w14:paraId="00000061">
      <w:pPr>
        <w:spacing w:after="200" w:before="240" w:lineRule="auto"/>
        <w:jc w:val="both"/>
        <w:rPr>
          <w:rFonts w:ascii="Calibri" w:cs="Calibri" w:eastAsia="Calibri" w:hAnsi="Calibri"/>
          <w:color w:val="000000"/>
          <w:sz w:val="27"/>
          <w:szCs w:val="27"/>
        </w:rPr>
      </w:pPr>
      <w:r w:rsidDel="00000000" w:rsidR="00000000" w:rsidRPr="00000000">
        <w:rPr>
          <w:rtl w:val="0"/>
        </w:rPr>
      </w:r>
    </w:p>
    <w:p w:rsidR="00000000" w:rsidDel="00000000" w:rsidP="00000000" w:rsidRDefault="00000000" w:rsidRPr="00000000" w14:paraId="00000062">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7"/>
          <w:szCs w:val="27"/>
          <w:rtl w:val="0"/>
        </w:rPr>
        <w:t xml:space="preserve">4</w:t>
      </w:r>
      <w:r w:rsidDel="00000000" w:rsidR="00000000" w:rsidRPr="00000000">
        <w:rPr>
          <w:rFonts w:ascii="Calibri" w:cs="Calibri" w:eastAsia="Calibri" w:hAnsi="Calibri"/>
          <w:color w:val="000000"/>
          <w:sz w:val="27"/>
          <w:szCs w:val="27"/>
          <w:rtl w:val="0"/>
        </w:rPr>
        <w:t xml:space="preserve">.</w:t>
        <w:tab/>
        <w:t xml:space="preserve">DISTRIBUIÇÃO DE VAGAS E VALORES</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6" w:lineRule="auto"/>
        <w:ind w:left="108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4.1.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DISTRIBUIÇÃO DE VAGAS E VALORES</w:t>
      </w:r>
    </w:p>
    <w:p w:rsidR="00000000" w:rsidDel="00000000" w:rsidP="00000000" w:rsidRDefault="00000000" w:rsidRPr="00000000" w14:paraId="00000064">
      <w:pPr>
        <w:spacing w:after="200" w:lineRule="auto"/>
        <w:jc w:val="both"/>
        <w:rPr>
          <w:rFonts w:ascii="Calibri" w:cs="Calibri" w:eastAsia="Calibri" w:hAnsi="Calibri"/>
          <w:color w:val="ff0000"/>
          <w:sz w:val="24"/>
          <w:szCs w:val="24"/>
        </w:rPr>
      </w:pPr>
      <w:r w:rsidDel="00000000" w:rsidR="00000000" w:rsidRPr="00000000">
        <w:rPr>
          <w:rtl w:val="0"/>
        </w:rPr>
      </w:r>
    </w:p>
    <w:tbl>
      <w:tblPr>
        <w:tblStyle w:val="Table1"/>
        <w:tblW w:w="11520.0" w:type="dxa"/>
        <w:jc w:val="left"/>
        <w:tblInd w:w="-161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1290"/>
        <w:gridCol w:w="1560"/>
        <w:gridCol w:w="1290"/>
        <w:gridCol w:w="1215"/>
        <w:gridCol w:w="1215"/>
        <w:gridCol w:w="1215"/>
        <w:gridCol w:w="1260"/>
        <w:tblGridChange w:id="0">
          <w:tblGrid>
            <w:gridCol w:w="2475"/>
            <w:gridCol w:w="1290"/>
            <w:gridCol w:w="1560"/>
            <w:gridCol w:w="1290"/>
            <w:gridCol w:w="1215"/>
            <w:gridCol w:w="1215"/>
            <w:gridCol w:w="1215"/>
            <w:gridCol w:w="126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65">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CATEGORIAS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66">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QTD DE VAGAS AMPLA CONCORRÊNCIA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67">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PESSOAS NEGRAS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68">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PESSOAS ÍNDIGENAS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9">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PCD</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A">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QUANTIDADE TOTAL DE VAGAS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6B">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MÁXIMO POR PROJETO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6C">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TOTAL DA CATEGORIA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59" w:lineRule="auto"/>
              <w:ind w:left="10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E">
            <w:pPr>
              <w:widowControl w:val="0"/>
              <w:jc w:val="both"/>
              <w:rPr>
                <w:rFonts w:ascii="Calibri" w:cs="Calibri" w:eastAsia="Calibri" w:hAnsi="Calibri"/>
                <w:sz w:val="18"/>
                <w:szCs w:val="18"/>
              </w:rPr>
            </w:pPr>
            <w:r w:rsidDel="00000000" w:rsidR="00000000" w:rsidRPr="00000000">
              <w:rPr>
                <w:sz w:val="18"/>
                <w:szCs w:val="18"/>
                <w:rtl w:val="0"/>
              </w:rPr>
              <w:t xml:space="preserve">Única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0">
            <w:pPr>
              <w:widowControl w:val="0"/>
              <w:jc w:val="center"/>
              <w:rPr>
                <w:rFonts w:ascii="Calibri" w:cs="Calibri" w:eastAsia="Calibri" w:hAnsi="Calibri"/>
                <w:sz w:val="16"/>
                <w:szCs w:val="16"/>
              </w:rPr>
            </w:pPr>
            <w:r w:rsidDel="00000000" w:rsidR="00000000" w:rsidRPr="00000000">
              <w:rPr>
                <w:sz w:val="16"/>
                <w:szCs w:val="16"/>
                <w:rtl w:val="0"/>
              </w:rPr>
              <w:t xml:space="preserve">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2">
            <w:pPr>
              <w:widowControl w:val="0"/>
              <w:jc w:val="center"/>
              <w:rPr>
                <w:rFonts w:ascii="Calibri" w:cs="Calibri" w:eastAsia="Calibri" w:hAnsi="Calibri"/>
                <w:sz w:val="16"/>
                <w:szCs w:val="16"/>
              </w:rPr>
            </w:pPr>
            <w:r w:rsidDel="00000000" w:rsidR="00000000" w:rsidRPr="00000000">
              <w:rPr>
                <w:sz w:val="16"/>
                <w:szCs w:val="16"/>
                <w:rtl w:val="0"/>
              </w:rPr>
              <w:t xml:space="preserve">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4">
            <w:pPr>
              <w:widowControl w:val="0"/>
              <w:jc w:val="center"/>
              <w:rPr>
                <w:rFonts w:ascii="Calibri" w:cs="Calibri" w:eastAsia="Calibri" w:hAnsi="Calibri"/>
                <w:sz w:val="16"/>
                <w:szCs w:val="16"/>
              </w:rPr>
            </w:pPr>
            <w:r w:rsidDel="00000000" w:rsidR="00000000" w:rsidRPr="00000000">
              <w:rPr>
                <w:sz w:val="16"/>
                <w:szCs w:val="16"/>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6">
            <w:pPr>
              <w:widowControl w:val="0"/>
              <w:jc w:val="center"/>
              <w:rPr>
                <w:rFonts w:ascii="Calibri" w:cs="Calibri" w:eastAsia="Calibri" w:hAnsi="Calibri"/>
                <w:sz w:val="16"/>
                <w:szCs w:val="16"/>
              </w:rPr>
            </w:pPr>
            <w:r w:rsidDel="00000000" w:rsidR="00000000" w:rsidRPr="00000000">
              <w:rPr>
                <w:sz w:val="16"/>
                <w:szCs w:val="16"/>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8">
            <w:pPr>
              <w:widowControl w:val="0"/>
              <w:jc w:val="center"/>
              <w:rPr>
                <w:rFonts w:ascii="Calibri" w:cs="Calibri" w:eastAsia="Calibri" w:hAnsi="Calibri"/>
                <w:sz w:val="16"/>
                <w:szCs w:val="16"/>
              </w:rPr>
            </w:pPr>
            <w:r w:rsidDel="00000000" w:rsidR="00000000" w:rsidRPr="00000000">
              <w:rPr>
                <w:sz w:val="16"/>
                <w:szCs w:val="16"/>
                <w:rtl w:val="0"/>
              </w:rPr>
              <w:t xml:space="preserve">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A">
            <w:pPr>
              <w:widowControl w:val="0"/>
              <w:jc w:val="center"/>
              <w:rPr>
                <w:rFonts w:ascii="Calibri" w:cs="Calibri" w:eastAsia="Calibri" w:hAnsi="Calibri"/>
                <w:sz w:val="16"/>
                <w:szCs w:val="16"/>
              </w:rPr>
            </w:pPr>
            <w:r w:rsidDel="00000000" w:rsidR="00000000" w:rsidRPr="00000000">
              <w:rPr>
                <w:sz w:val="16"/>
                <w:szCs w:val="16"/>
                <w:rtl w:val="0"/>
              </w:rPr>
              <w:t xml:space="preserve">R$ 10.239,82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C">
            <w:pPr>
              <w:widowControl w:val="0"/>
              <w:jc w:val="center"/>
              <w:rPr>
                <w:rFonts w:ascii="Calibri" w:cs="Calibri" w:eastAsia="Calibri" w:hAnsi="Calibri"/>
                <w:sz w:val="16"/>
                <w:szCs w:val="16"/>
              </w:rPr>
            </w:pPr>
            <w:r w:rsidDel="00000000" w:rsidR="00000000" w:rsidRPr="00000000">
              <w:rPr>
                <w:sz w:val="16"/>
                <w:szCs w:val="16"/>
                <w:rtl w:val="0"/>
              </w:rPr>
              <w:t xml:space="preserve">R$266.235,32</w:t>
            </w:r>
            <w:r w:rsidDel="00000000" w:rsidR="00000000" w:rsidRPr="00000000">
              <w:rPr>
                <w:rtl w:val="0"/>
              </w:rPr>
            </w:r>
          </w:p>
        </w:tc>
      </w:tr>
    </w:tbl>
    <w:p w:rsidR="00000000" w:rsidDel="00000000" w:rsidP="00000000" w:rsidRDefault="00000000" w:rsidRPr="00000000" w14:paraId="0000007D">
      <w:pPr>
        <w:spacing w:after="200" w:before="240" w:lineRule="auto"/>
        <w:jc w:val="both"/>
        <w:rPr>
          <w:rFonts w:ascii="Calibri" w:cs="Calibri" w:eastAsia="Calibri" w:hAnsi="Calibri"/>
          <w:sz w:val="24"/>
          <w:szCs w:val="24"/>
        </w:rPr>
      </w:pPr>
      <w:bookmarkStart w:colFirst="0" w:colLast="0" w:name="_heading=h.b1qabeohyufa" w:id="0"/>
      <w:bookmarkEnd w:id="0"/>
      <w:r w:rsidDel="00000000" w:rsidR="00000000" w:rsidRPr="00000000">
        <w:rPr>
          <w:rtl w:val="0"/>
        </w:rPr>
      </w:r>
    </w:p>
    <w:p w:rsidR="00000000" w:rsidDel="00000000" w:rsidP="00000000" w:rsidRDefault="00000000" w:rsidRPr="00000000" w14:paraId="0000007E">
      <w:pPr>
        <w:shd w:fill="ffffff" w:val="clear"/>
        <w:spacing w:after="300" w:lineRule="auto"/>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3162300" cy="447675"/>
          <wp:effectExtent b="0" l="0" r="0" t="0"/>
          <wp:docPr id="137854526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62300" cy="447675"/>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POLÍTICA NACIONAL ALDIR BLANC DE FOMENTO À CULTURA</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har"/>
    <w:uiPriority w:val="9"/>
    <w:semiHidden w:val="1"/>
    <w:unhideWhenUsed w:val="1"/>
    <w:qFormat w:val="1"/>
    <w:rsid w:val="008D205C"/>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8D205C"/>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8D205C"/>
    <w:pPr>
      <w:keepNext w:val="1"/>
      <w:keepLines w:val="1"/>
      <w:spacing w:after="0"/>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8D205C"/>
    <w:rPr>
      <w:rFonts w:asciiTheme="majorHAnsi" w:cstheme="majorBidi" w:eastAsiaTheme="majorEastAsia" w:hAnsiTheme="majorHAnsi"/>
      <w:color w:val="0f4761" w:themeColor="accent1" w:themeShade="0000BF"/>
      <w:sz w:val="40"/>
      <w:szCs w:val="40"/>
    </w:rPr>
  </w:style>
  <w:style w:type="character" w:styleId="Ttulo2Char" w:customStyle="1">
    <w:name w:val="Título 2 Char"/>
    <w:basedOn w:val="Fontepargpadro"/>
    <w:link w:val="Ttulo2"/>
    <w:uiPriority w:val="9"/>
    <w:semiHidden w:val="1"/>
    <w:rsid w:val="008D205C"/>
    <w:rPr>
      <w:rFonts w:asciiTheme="majorHAnsi" w:cstheme="majorBidi" w:eastAsiaTheme="majorEastAsia" w:hAnsiTheme="majorHAnsi"/>
      <w:color w:val="0f4761" w:themeColor="accent1" w:themeShade="0000BF"/>
      <w:sz w:val="32"/>
      <w:szCs w:val="32"/>
    </w:rPr>
  </w:style>
  <w:style w:type="character" w:styleId="Ttulo3Char" w:customStyle="1">
    <w:name w:val="Título 3 Char"/>
    <w:basedOn w:val="Fontepargpadro"/>
    <w:link w:val="Ttulo3"/>
    <w:uiPriority w:val="9"/>
    <w:semiHidden w:val="1"/>
    <w:rsid w:val="008D205C"/>
    <w:rPr>
      <w:rFonts w:cstheme="majorBidi" w:eastAsiaTheme="majorEastAsia"/>
      <w:color w:val="0f4761" w:themeColor="accent1" w:themeShade="0000BF"/>
      <w:sz w:val="28"/>
      <w:szCs w:val="28"/>
    </w:rPr>
  </w:style>
  <w:style w:type="character" w:styleId="Ttulo4Char" w:customStyle="1">
    <w:name w:val="Título 4 Char"/>
    <w:basedOn w:val="Fontepargpadro"/>
    <w:link w:val="Ttulo4"/>
    <w:uiPriority w:val="9"/>
    <w:semiHidden w:val="1"/>
    <w:rsid w:val="008D205C"/>
    <w:rPr>
      <w:rFonts w:cstheme="majorBidi" w:eastAsiaTheme="majorEastAsia"/>
      <w:i w:val="1"/>
      <w:iCs w:val="1"/>
      <w:color w:val="0f4761" w:themeColor="accent1" w:themeShade="0000BF"/>
    </w:rPr>
  </w:style>
  <w:style w:type="character" w:styleId="Ttulo5Char" w:customStyle="1">
    <w:name w:val="Título 5 Char"/>
    <w:basedOn w:val="Fontepargpadro"/>
    <w:link w:val="Ttulo5"/>
    <w:uiPriority w:val="9"/>
    <w:semiHidden w:val="1"/>
    <w:rsid w:val="008D205C"/>
    <w:rPr>
      <w:rFonts w:cstheme="majorBidi" w:eastAsiaTheme="majorEastAsia"/>
      <w:color w:val="0f4761" w:themeColor="accent1" w:themeShade="0000BF"/>
    </w:rPr>
  </w:style>
  <w:style w:type="character" w:styleId="Ttulo6Char" w:customStyle="1">
    <w:name w:val="Título 6 Char"/>
    <w:basedOn w:val="Fontepargpadro"/>
    <w:link w:val="Ttulo6"/>
    <w:uiPriority w:val="9"/>
    <w:semiHidden w:val="1"/>
    <w:rsid w:val="008D205C"/>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8D205C"/>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8D205C"/>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8D205C"/>
    <w:rPr>
      <w:rFonts w:cstheme="majorBidi" w:eastAsiaTheme="majorEastAsia"/>
      <w:color w:val="272727" w:themeColor="text1" w:themeTint="0000D8"/>
    </w:rPr>
  </w:style>
  <w:style w:type="character" w:styleId="TtuloChar" w:customStyle="1">
    <w:name w:val="Título Char"/>
    <w:basedOn w:val="Fontepargpadro"/>
    <w:link w:val="Ttulo"/>
    <w:uiPriority w:val="10"/>
    <w:rsid w:val="008D205C"/>
    <w:rPr>
      <w:rFonts w:asciiTheme="majorHAnsi" w:cstheme="majorBidi" w:eastAsiaTheme="majorEastAsia" w:hAnsiTheme="majorHAnsi"/>
      <w:spacing w:val="-10"/>
      <w:kern w:val="28"/>
      <w:sz w:val="56"/>
      <w:szCs w:val="56"/>
    </w:rPr>
  </w:style>
  <w:style w:type="character" w:styleId="SubttuloChar" w:customStyle="1">
    <w:name w:val="Subtítulo Char"/>
    <w:basedOn w:val="Fontepargpadro"/>
    <w:link w:val="Subttulo"/>
    <w:uiPriority w:val="11"/>
    <w:rsid w:val="008D205C"/>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8D205C"/>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8D205C"/>
    <w:rPr>
      <w:i w:val="1"/>
      <w:iCs w:val="1"/>
      <w:color w:val="404040" w:themeColor="text1" w:themeTint="0000BF"/>
    </w:rPr>
  </w:style>
  <w:style w:type="paragraph" w:styleId="PargrafodaLista">
    <w:name w:val="List Paragraph"/>
    <w:basedOn w:val="Normal"/>
    <w:uiPriority w:val="34"/>
    <w:qFormat w:val="1"/>
    <w:rsid w:val="008D205C"/>
    <w:pPr>
      <w:ind w:left="720"/>
      <w:contextualSpacing w:val="1"/>
    </w:pPr>
  </w:style>
  <w:style w:type="character" w:styleId="nfaseIntensa">
    <w:name w:val="Intense Emphasis"/>
    <w:basedOn w:val="Fontepargpadro"/>
    <w:uiPriority w:val="21"/>
    <w:qFormat w:val="1"/>
    <w:rsid w:val="008D205C"/>
    <w:rPr>
      <w:i w:val="1"/>
      <w:iCs w:val="1"/>
      <w:color w:val="0f4761" w:themeColor="accent1" w:themeShade="0000BF"/>
    </w:rPr>
  </w:style>
  <w:style w:type="paragraph" w:styleId="CitaoIntensa">
    <w:name w:val="Intense Quote"/>
    <w:basedOn w:val="Normal"/>
    <w:next w:val="Normal"/>
    <w:link w:val="CitaoIntensaChar"/>
    <w:uiPriority w:val="30"/>
    <w:qFormat w:val="1"/>
    <w:rsid w:val="008D205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har" w:customStyle="1">
    <w:name w:val="Citação Intensa Char"/>
    <w:basedOn w:val="Fontepargpadro"/>
    <w:link w:val="CitaoIntensa"/>
    <w:uiPriority w:val="30"/>
    <w:rsid w:val="008D205C"/>
    <w:rPr>
      <w:i w:val="1"/>
      <w:iCs w:val="1"/>
      <w:color w:val="0f4761" w:themeColor="accent1" w:themeShade="0000BF"/>
    </w:rPr>
  </w:style>
  <w:style w:type="character" w:styleId="RefernciaIntensa">
    <w:name w:val="Intense Reference"/>
    <w:basedOn w:val="Fontepargpadro"/>
    <w:uiPriority w:val="32"/>
    <w:qFormat w:val="1"/>
    <w:rsid w:val="008D205C"/>
    <w:rPr>
      <w:b w:val="1"/>
      <w:bCs w:val="1"/>
      <w:smallCaps w:val="1"/>
      <w:color w:val="0f4761" w:themeColor="accent1" w:themeShade="0000BF"/>
      <w:spacing w:val="5"/>
    </w:rPr>
  </w:style>
  <w:style w:type="paragraph" w:styleId="Cabealho">
    <w:name w:val="header"/>
    <w:basedOn w:val="Normal"/>
    <w:link w:val="CabealhoChar"/>
    <w:uiPriority w:val="99"/>
    <w:unhideWhenUsed w:val="1"/>
    <w:rsid w:val="008D205C"/>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8D205C"/>
  </w:style>
  <w:style w:type="paragraph" w:styleId="Rodap">
    <w:name w:val="footer"/>
    <w:basedOn w:val="Normal"/>
    <w:link w:val="RodapChar"/>
    <w:uiPriority w:val="99"/>
    <w:unhideWhenUsed w:val="1"/>
    <w:rsid w:val="008D205C"/>
    <w:pPr>
      <w:tabs>
        <w:tab w:val="center" w:pos="4252"/>
        <w:tab w:val="right" w:pos="8504"/>
      </w:tabs>
      <w:spacing w:after="0" w:line="240" w:lineRule="auto"/>
    </w:pPr>
  </w:style>
  <w:style w:type="character" w:styleId="RodapChar" w:customStyle="1">
    <w:name w:val="Rodapé Char"/>
    <w:basedOn w:val="Fontepargpadro"/>
    <w:link w:val="Rodap"/>
    <w:uiPriority w:val="99"/>
    <w:rsid w:val="008D205C"/>
  </w:style>
  <w:style w:type="table" w:styleId="Tabelacomgrade">
    <w:name w:val="Table Grid"/>
    <w:basedOn w:val="Tabelanormal"/>
    <w:uiPriority w:val="39"/>
    <w:rsid w:val="00F50DA1"/>
    <w:pPr>
      <w:spacing w:after="0" w:line="240" w:lineRule="auto"/>
    </w:pPr>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agraph" w:customStyle="1">
    <w:name w:val="paragraph"/>
    <w:basedOn w:val="Normal"/>
    <w:rsid w:val="00F50DA1"/>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character" w:styleId="normaltextrun" w:customStyle="1">
    <w:name w:val="normaltextrun"/>
    <w:basedOn w:val="Fontepargpadro"/>
    <w:rsid w:val="00F50DA1"/>
  </w:style>
  <w:style w:type="character" w:styleId="eop" w:customStyle="1">
    <w:name w:val="eop"/>
    <w:basedOn w:val="Fontepargpadro"/>
    <w:rsid w:val="00F50DA1"/>
  </w:style>
  <w:style w:type="paragraph" w:styleId="Textodecomentrio">
    <w:name w:val="annotation text"/>
    <w:basedOn w:val="Normal"/>
    <w:link w:val="TextodecomentrioChar"/>
    <w:uiPriority w:val="99"/>
    <w:semiHidden w:val="1"/>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paragraph" w:styleId="Textodebalo">
    <w:name w:val="Balloon Text"/>
    <w:basedOn w:val="Normal"/>
    <w:link w:val="TextodebaloChar"/>
    <w:uiPriority w:val="99"/>
    <w:semiHidden w:val="1"/>
    <w:unhideWhenUsed w:val="1"/>
    <w:rsid w:val="00567F5F"/>
    <w:pPr>
      <w:spacing w:after="0"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567F5F"/>
    <w:rPr>
      <w:rFonts w:ascii="Tahoma" w:cs="Tahoma" w:hAnsi="Tahoma"/>
      <w:sz w:val="16"/>
      <w:szCs w:val="16"/>
    </w:rPr>
  </w:style>
  <w:style w:type="paragraph" w:styleId="TableParagraph" w:customStyle="1">
    <w:name w:val="Table Paragraph"/>
    <w:basedOn w:val="Normal"/>
    <w:uiPriority w:val="1"/>
    <w:qFormat w:val="1"/>
    <w:rsid w:val="005867F9"/>
    <w:pPr>
      <w:widowControl w:val="0"/>
      <w:autoSpaceDE w:val="0"/>
      <w:autoSpaceDN w:val="0"/>
      <w:spacing w:after="0" w:before="22" w:line="240" w:lineRule="auto"/>
      <w:jc w:val="center"/>
    </w:pPr>
    <w:rPr>
      <w:rFonts w:ascii="Calibri" w:cs="Calibri" w:eastAsia="Calibri" w:hAnsi="Calibri"/>
      <w:kern w:val="0"/>
      <w:lang w:val="pt-PT"/>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AwRoZ88fkhnos+urm6nzHru60w==">CgMxLjAyDmguYjFxYWJlb2h5dWZhOAByITFPOTlSb2tYTzhYdlRWSXFDazhEVm1qZE9WYy1zM1gtTA==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2026-08-27T23:33:00Z</dcterms:created>
  <dc:creator>Lauriana Martins Vinha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