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88" w:rsidRDefault="002B4B48">
      <w:pPr>
        <w:pStyle w:val="normal0"/>
        <w:spacing w:before="120" w:after="288" w:line="312" w:lineRule="auto"/>
        <w:jc w:val="center"/>
        <w:rPr>
          <w:rFonts w:ascii="Arial" w:eastAsia="Arial" w:hAnsi="Arial" w:cs="Arial"/>
          <w:sz w:val="40"/>
          <w:szCs w:val="40"/>
        </w:rPr>
      </w:pPr>
      <w:bookmarkStart w:id="0" w:name="_gjdgxs" w:colFirst="0" w:colLast="0"/>
      <w:bookmarkEnd w:id="0"/>
      <w:r>
        <w:rPr>
          <w:rFonts w:ascii="Arial" w:eastAsia="Arial" w:hAnsi="Arial" w:cs="Arial"/>
          <w:b/>
          <w:i/>
          <w:sz w:val="40"/>
          <w:szCs w:val="40"/>
        </w:rPr>
        <w:t xml:space="preserve">      </w:t>
      </w:r>
      <w:r w:rsidR="005E13F6">
        <w:rPr>
          <w:rFonts w:ascii="Arial" w:eastAsia="Arial" w:hAnsi="Arial" w:cs="Arial"/>
          <w:b/>
          <w:i/>
          <w:sz w:val="40"/>
          <w:szCs w:val="40"/>
        </w:rPr>
        <w:t>TERMO DE REFERÊNCIA</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ind w:left="0" w:firstLine="0"/>
        <w:jc w:val="both"/>
        <w:rPr>
          <w:rFonts w:ascii="Arial" w:eastAsia="Arial" w:hAnsi="Arial" w:cs="Arial"/>
          <w:color w:val="000000"/>
          <w:sz w:val="20"/>
          <w:szCs w:val="20"/>
        </w:rPr>
      </w:pPr>
      <w:r>
        <w:rPr>
          <w:rFonts w:ascii="Arial" w:eastAsia="Arial" w:hAnsi="Arial" w:cs="Arial"/>
          <w:b/>
          <w:color w:val="000000"/>
          <w:sz w:val="20"/>
          <w:szCs w:val="20"/>
        </w:rPr>
        <w:t>CONDIÇÕES GERAIS DA CONTRATAÇÃO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AQUISIÇÃO OU CONTRATAÇÃO de</w:t>
      </w:r>
      <w:r>
        <w:rPr>
          <w:rFonts w:ascii="Arial" w:eastAsia="Arial" w:hAnsi="Arial" w:cs="Arial"/>
          <w:color w:val="FF0000"/>
          <w:sz w:val="20"/>
          <w:szCs w:val="20"/>
        </w:rPr>
        <w:t>...........................................................</w:t>
      </w:r>
      <w:r>
        <w:rPr>
          <w:rFonts w:ascii="Arial" w:eastAsia="Arial" w:hAnsi="Arial" w:cs="Arial"/>
          <w:b/>
          <w:color w:val="000000"/>
          <w:sz w:val="20"/>
          <w:szCs w:val="20"/>
        </w:rPr>
        <w:t>,</w:t>
      </w:r>
      <w:r>
        <w:rPr>
          <w:rFonts w:ascii="Arial" w:eastAsia="Arial" w:hAnsi="Arial" w:cs="Arial"/>
          <w:color w:val="000000"/>
          <w:sz w:val="20"/>
          <w:szCs w:val="20"/>
        </w:rPr>
        <w:t xml:space="preserve"> nos termos da tabela abaixo, conforme condições e exigências estabelecidas neste instrumento.</w:t>
      </w:r>
    </w:p>
    <w:tbl>
      <w:tblPr>
        <w:tblStyle w:val="a"/>
        <w:tblW w:w="90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
        <w:gridCol w:w="3799"/>
        <w:gridCol w:w="2268"/>
        <w:gridCol w:w="2268"/>
      </w:tblGrid>
      <w:tr w:rsidR="00A41088">
        <w:tc>
          <w:tcPr>
            <w:tcW w:w="709"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ITEM</w:t>
            </w:r>
          </w:p>
          <w:p w:rsidR="00A41088" w:rsidRDefault="00A41088">
            <w:pPr>
              <w:pStyle w:val="normal0"/>
              <w:widowControl w:val="0"/>
              <w:spacing w:before="120" w:after="288" w:line="312" w:lineRule="auto"/>
              <w:jc w:val="center"/>
              <w:rPr>
                <w:rFonts w:ascii="Arial" w:eastAsia="Arial" w:hAnsi="Arial" w:cs="Arial"/>
                <w:b/>
                <w:color w:val="000000"/>
                <w:sz w:val="20"/>
                <w:szCs w:val="20"/>
              </w:rPr>
            </w:pPr>
          </w:p>
        </w:tc>
        <w:tc>
          <w:tcPr>
            <w:tcW w:w="3799"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color w:val="000000"/>
                <w:sz w:val="20"/>
                <w:szCs w:val="20"/>
              </w:rPr>
            </w:pPr>
            <w:r>
              <w:rPr>
                <w:rFonts w:ascii="Arial" w:eastAsia="Arial" w:hAnsi="Arial" w:cs="Arial"/>
                <w:b/>
                <w:color w:val="000000"/>
                <w:sz w:val="20"/>
                <w:szCs w:val="20"/>
              </w:rPr>
              <w:t>ESPECIFICAÇÃO</w:t>
            </w:r>
          </w:p>
        </w:tc>
        <w:tc>
          <w:tcPr>
            <w:tcW w:w="2268"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color w:val="000000"/>
                <w:sz w:val="20"/>
                <w:szCs w:val="20"/>
              </w:rPr>
            </w:pPr>
            <w:r>
              <w:rPr>
                <w:rFonts w:ascii="Arial" w:eastAsia="Arial" w:hAnsi="Arial" w:cs="Arial"/>
                <w:b/>
                <w:color w:val="000000"/>
                <w:sz w:val="20"/>
                <w:szCs w:val="20"/>
              </w:rPr>
              <w:t>UNIDADE DE MEDIDA</w:t>
            </w:r>
          </w:p>
        </w:tc>
        <w:tc>
          <w:tcPr>
            <w:tcW w:w="2268"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b/>
                <w:sz w:val="20"/>
                <w:szCs w:val="20"/>
              </w:rPr>
            </w:pPr>
            <w:r>
              <w:rPr>
                <w:rFonts w:ascii="Arial" w:eastAsia="Arial" w:hAnsi="Arial" w:cs="Arial"/>
                <w:b/>
                <w:sz w:val="20"/>
                <w:szCs w:val="20"/>
              </w:rPr>
              <w:t>QUANTIDADE</w:t>
            </w:r>
          </w:p>
        </w:tc>
      </w:tr>
      <w:tr w:rsidR="00A41088">
        <w:tc>
          <w:tcPr>
            <w:tcW w:w="709"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3799"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r>
      <w:tr w:rsidR="00A41088">
        <w:tc>
          <w:tcPr>
            <w:tcW w:w="709"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2</w:t>
            </w:r>
          </w:p>
        </w:tc>
        <w:tc>
          <w:tcPr>
            <w:tcW w:w="3799"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r>
      <w:tr w:rsidR="00A41088">
        <w:tc>
          <w:tcPr>
            <w:tcW w:w="709"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3</w:t>
            </w:r>
          </w:p>
        </w:tc>
        <w:tc>
          <w:tcPr>
            <w:tcW w:w="3799"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r>
      <w:tr w:rsidR="00A41088">
        <w:tc>
          <w:tcPr>
            <w:tcW w:w="709" w:type="dxa"/>
            <w:tcBorders>
              <w:top w:val="single" w:sz="4" w:space="0" w:color="000000"/>
              <w:left w:val="single" w:sz="4" w:space="0" w:color="000000"/>
              <w:bottom w:val="single" w:sz="4" w:space="0" w:color="000000"/>
              <w:right w:val="single" w:sz="4" w:space="0" w:color="000000"/>
            </w:tcBorders>
          </w:tcPr>
          <w:p w:rsidR="00A41088" w:rsidRDefault="005E13F6">
            <w:pPr>
              <w:pStyle w:val="normal0"/>
              <w:widowControl w:val="0"/>
              <w:spacing w:before="120" w:after="288" w:line="312" w:lineRule="auto"/>
              <w:jc w:val="center"/>
              <w:rPr>
                <w:rFonts w:ascii="Arial" w:eastAsia="Arial" w:hAnsi="Arial" w:cs="Arial"/>
                <w:b/>
                <w:color w:val="000000"/>
                <w:sz w:val="20"/>
                <w:szCs w:val="20"/>
              </w:rPr>
            </w:pPr>
            <w:r>
              <w:rPr>
                <w:rFonts w:ascii="Arial" w:eastAsia="Arial" w:hAnsi="Arial" w:cs="Arial"/>
                <w:b/>
                <w:color w:val="000000"/>
                <w:sz w:val="20"/>
                <w:szCs w:val="20"/>
              </w:rPr>
              <w:t>...</w:t>
            </w:r>
          </w:p>
        </w:tc>
        <w:tc>
          <w:tcPr>
            <w:tcW w:w="3799" w:type="dxa"/>
            <w:tcBorders>
              <w:top w:val="single" w:sz="4" w:space="0" w:color="000000"/>
              <w:left w:val="single" w:sz="4" w:space="0" w:color="000000"/>
              <w:bottom w:val="single" w:sz="4" w:space="0" w:color="000000"/>
              <w:right w:val="single" w:sz="4" w:space="0" w:color="000000"/>
            </w:tcBorders>
          </w:tcPr>
          <w:p w:rsidR="00A41088" w:rsidRDefault="00A41088">
            <w:pPr>
              <w:pStyle w:val="normal0"/>
              <w:spacing w:before="120" w:after="288" w:line="312" w:lineRule="auto"/>
              <w:jc w:val="center"/>
              <w:rPr>
                <w:rFonts w:ascii="Arial" w:eastAsia="Arial" w:hAnsi="Arial" w:cs="Arial"/>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A41088" w:rsidRDefault="00A41088">
            <w:pPr>
              <w:pStyle w:val="normal0"/>
              <w:widowControl w:val="0"/>
              <w:spacing w:before="120" w:after="288" w:line="312" w:lineRule="auto"/>
              <w:rPr>
                <w:rFonts w:ascii="Arial" w:eastAsia="Arial" w:hAnsi="Arial" w:cs="Arial"/>
                <w:color w:val="000000"/>
                <w:sz w:val="20"/>
                <w:szCs w:val="20"/>
              </w:rPr>
            </w:pPr>
          </w:p>
        </w:tc>
      </w:tr>
    </w:tbl>
    <w:p w:rsidR="00A41088" w:rsidRDefault="00A41088">
      <w:pPr>
        <w:pStyle w:val="normal0"/>
        <w:pBdr>
          <w:top w:val="nil"/>
          <w:left w:val="nil"/>
          <w:bottom w:val="nil"/>
          <w:right w:val="nil"/>
          <w:between w:val="nil"/>
        </w:pBdr>
        <w:spacing w:before="120" w:after="288" w:line="312" w:lineRule="auto"/>
        <w:jc w:val="both"/>
        <w:rPr>
          <w:rFonts w:ascii="Arial" w:eastAsia="Arial" w:hAnsi="Arial" w:cs="Arial"/>
          <w:color w:val="000000"/>
          <w:sz w:val="20"/>
          <w:szCs w:val="20"/>
        </w:rPr>
      </w:pP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objeto desta contratação não se enquadra como sendo de bem de luxo, conforme Decreto nº 10.818, de 27 de setembro de 2021.</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Os bens objeto desta contratação são caracterizados como comuns, conforme justificativa constante do Estudo Técnico Preliminar.</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b/>
          <w:i/>
          <w:color w:val="000000"/>
          <w:sz w:val="20"/>
          <w:szCs w:val="20"/>
        </w:rPr>
        <w:t>O prazo de vigência da contratação é de .............................. contados do(a) ............................., na forma do artigo 105 da Lei n° 14.133, de 2021.</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b/>
          <w:i/>
          <w:color w:val="000000"/>
          <w:sz w:val="20"/>
          <w:szCs w:val="20"/>
        </w:rPr>
        <w:t>O prazo de vigência da contratação é de .............................. (máximo de 5 anos) contados do(a) ............................., prorrogável por até 10 anos, na forma dos artigos 106 e 107 da Lei n° 14.133, de 2021.</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b/>
          <w:i/>
          <w:color w:val="000000"/>
          <w:sz w:val="20"/>
          <w:szCs w:val="20"/>
        </w:rPr>
        <w:lastRenderedPageBreak/>
        <w:t>O fornecimento de bens é enquadrado como continuado tendo em vista que [...], sendo a vigência plurianual mais vantajosa considerando [...] OU o Estudo Técnico Preliminar OU os termos da Nota Técnica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contrato oferece maior detalhamento das regras que serão aplicadas em relação à vigência da contratação.</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ind w:left="0" w:firstLine="0"/>
        <w:jc w:val="both"/>
      </w:pPr>
      <w:r>
        <w:rPr>
          <w:rFonts w:ascii="Arial" w:eastAsia="Arial" w:hAnsi="Arial" w:cs="Arial"/>
          <w:b/>
          <w:color w:val="000000"/>
          <w:sz w:val="20"/>
          <w:szCs w:val="20"/>
        </w:rPr>
        <w:t>FUNDAMENTAÇÃO E DESCRIÇÃO DA NECESSIDADE DA CONTRATAÇÃO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A Fundamentação da Contratação e de seus quantitativos encontra-se pormenorizada em Tópico específico dos Estudos Técnicos Preliminares, apêndice deste Termo de Referência.</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ind w:left="0" w:firstLine="0"/>
        <w:jc w:val="both"/>
      </w:pPr>
      <w:r>
        <w:rPr>
          <w:rFonts w:ascii="Arial" w:eastAsia="Arial" w:hAnsi="Arial" w:cs="Arial"/>
          <w:b/>
          <w:color w:val="000000"/>
          <w:sz w:val="20"/>
          <w:szCs w:val="20"/>
        </w:rPr>
        <w:t>DESCRIÇÃO DA SOLUÇÃO COMO UM TODO CONSIDERADO O CICLO DE VIDA DO OBJETO E ESPECIFICAÇÃO DO PRODUTO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A descrição da solução como um todo encontra-se pormenorizada em tópico específico do Estudo Técnico Preliminar.</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jc w:val="both"/>
      </w:pPr>
      <w:r>
        <w:rPr>
          <w:rFonts w:ascii="Arial" w:eastAsia="Arial" w:hAnsi="Arial" w:cs="Arial"/>
          <w:b/>
          <w:color w:val="000000"/>
          <w:sz w:val="20"/>
          <w:szCs w:val="20"/>
        </w:rPr>
        <w:t>REQUISITOS DA CONTRATAÇÃO</w:t>
      </w:r>
    </w:p>
    <w:p w:rsidR="00A41088" w:rsidRDefault="005E13F6">
      <w:pPr>
        <w:pStyle w:val="normal0"/>
        <w:keepNext/>
        <w:keepLines/>
        <w:tabs>
          <w:tab w:val="left" w:pos="567"/>
        </w:tabs>
        <w:spacing w:before="120" w:after="288" w:line="312" w:lineRule="auto"/>
        <w:ind w:left="357"/>
        <w:jc w:val="both"/>
        <w:rPr>
          <w:rFonts w:ascii="Arial" w:eastAsia="Arial" w:hAnsi="Arial" w:cs="Arial"/>
          <w:b/>
          <w:sz w:val="20"/>
          <w:szCs w:val="20"/>
        </w:rPr>
      </w:pPr>
      <w:r>
        <w:rPr>
          <w:rFonts w:ascii="Arial" w:eastAsia="Arial" w:hAnsi="Arial" w:cs="Arial"/>
          <w:b/>
          <w:sz w:val="20"/>
          <w:szCs w:val="20"/>
        </w:rPr>
        <w:t>Da exigência de CATÁLOGO OU AMOSTRA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Havendo o aceite da proposta quanto ao valor, o interessado classificado provisoriamente em primeiro lugar deverá apresentar </w:t>
      </w:r>
      <w:r>
        <w:rPr>
          <w:rFonts w:ascii="Arial" w:eastAsia="Arial" w:hAnsi="Arial" w:cs="Arial"/>
          <w:b/>
          <w:i/>
          <w:color w:val="000000"/>
          <w:sz w:val="20"/>
          <w:szCs w:val="20"/>
        </w:rPr>
        <w:t>CATÁLOGO DE FÁBRICA DOS ITENS</w:t>
      </w:r>
      <w:r>
        <w:rPr>
          <w:rFonts w:ascii="Arial" w:eastAsia="Arial" w:hAnsi="Arial" w:cs="Arial"/>
          <w:i/>
          <w:color w:val="000000"/>
          <w:sz w:val="20"/>
          <w:szCs w:val="20"/>
        </w:rPr>
        <w:t>. Caso os catálogos não sejam suficientes para análise conclusiva acerca da aderência do objeto ofertado em relação ao requisitado, o Agente de Contratação ou Comissão de Contratação solicitará amostra, que será analisada pelo corpo técnico da área demandante, sendo facultada a quaisquer interessados o acompanhamento da análise e de eventuais testes realizados pelo retrocitado corpo técnico.</w:t>
      </w:r>
    </w:p>
    <w:p w:rsidR="00A41088" w:rsidRDefault="005E13F6">
      <w:pPr>
        <w:pStyle w:val="normal0"/>
        <w:pBdr>
          <w:top w:val="nil"/>
          <w:left w:val="nil"/>
          <w:bottom w:val="nil"/>
          <w:right w:val="nil"/>
          <w:between w:val="nil"/>
        </w:pBdr>
        <w:spacing w:before="120" w:after="288" w:line="312" w:lineRule="auto"/>
        <w:ind w:left="709"/>
        <w:jc w:val="both"/>
        <w:rPr>
          <w:rFonts w:ascii="Arial" w:eastAsia="Arial" w:hAnsi="Arial" w:cs="Arial"/>
          <w:b/>
          <w:i/>
          <w:color w:val="000000"/>
          <w:sz w:val="20"/>
          <w:szCs w:val="20"/>
        </w:rPr>
      </w:pPr>
      <w:r>
        <w:rPr>
          <w:rFonts w:ascii="Arial" w:eastAsia="Arial" w:hAnsi="Arial" w:cs="Arial"/>
          <w:b/>
          <w:i/>
          <w:color w:val="000000"/>
          <w:sz w:val="20"/>
          <w:szCs w:val="20"/>
          <w:highlight w:val="yellow"/>
        </w:rPr>
        <w:t>OBS.: EM CASO DE SERVIÇOS, A ÁREA DEMANDANTE DEVERÁ AVALIAR SE A EXIGÊNCIA DE CATÁLOGOS OU DE AMOSTRAS É APLICÁVEL. NÃO SENDO APLICÁVEL, BASTA suprimir a cláusula</w:t>
      </w:r>
      <w:r>
        <w:rPr>
          <w:rFonts w:ascii="Arial" w:eastAsia="Arial" w:hAnsi="Arial" w:cs="Arial"/>
          <w:b/>
          <w:i/>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As amostras poderão ser entregues no endereço Avenida VIII, nº 50, Bairro Carreira Comprida, CEP 33045-090, no prazo limite de 05 (cinco) dias úteis, sendo que a empresa assume total responsabilidade pelo envio e por eventual atraso na entrega.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É facultada prorrogação o prazo estabelecido, a partir de solicitação fundamentada no chat pelo interessado, antes de findo o prazo.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lastRenderedPageBreak/>
        <w:t>No caso de não haver entrega da amostra ou ocorrer atraso na entrega, sem justificativa aceita, ou havendo entrega de amostra fora das especificações previstas, a proposta será recusada.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Serão avaliados os seguintes aspectos e padrões mínimos de aceitabilidade:</w:t>
      </w:r>
    </w:p>
    <w:p w:rsidR="00A41088" w:rsidRDefault="005E13F6">
      <w:pPr>
        <w:pStyle w:val="normal0"/>
        <w:numPr>
          <w:ilvl w:val="4"/>
          <w:numId w:val="2"/>
        </w:numPr>
        <w:pBdr>
          <w:top w:val="nil"/>
          <w:left w:val="nil"/>
          <w:bottom w:val="nil"/>
          <w:right w:val="nil"/>
          <w:between w:val="nil"/>
        </w:pBdr>
        <w:spacing w:before="120" w:line="312" w:lineRule="auto"/>
        <w:ind w:left="851" w:firstLine="0"/>
        <w:jc w:val="both"/>
        <w:rPr>
          <w:rFonts w:ascii="Arial" w:eastAsia="Arial" w:hAnsi="Arial" w:cs="Arial"/>
          <w:i/>
          <w:color w:val="000000"/>
          <w:sz w:val="20"/>
          <w:szCs w:val="20"/>
        </w:rPr>
      </w:pPr>
      <w:r>
        <w:rPr>
          <w:rFonts w:ascii="Arial" w:eastAsia="Arial" w:hAnsi="Arial" w:cs="Arial"/>
          <w:i/>
          <w:color w:val="000000"/>
          <w:sz w:val="20"/>
          <w:szCs w:val="20"/>
        </w:rPr>
        <w:t>Itens (....): ...........;</w:t>
      </w:r>
    </w:p>
    <w:p w:rsidR="00A41088" w:rsidRDefault="005E13F6">
      <w:pPr>
        <w:pStyle w:val="normal0"/>
        <w:numPr>
          <w:ilvl w:val="4"/>
          <w:numId w:val="2"/>
        </w:numPr>
        <w:pBdr>
          <w:top w:val="nil"/>
          <w:left w:val="nil"/>
          <w:bottom w:val="nil"/>
          <w:right w:val="nil"/>
          <w:between w:val="nil"/>
        </w:pBdr>
        <w:spacing w:after="288" w:line="312" w:lineRule="auto"/>
        <w:ind w:left="851" w:firstLine="0"/>
        <w:jc w:val="both"/>
        <w:rPr>
          <w:rFonts w:ascii="Arial" w:eastAsia="Arial" w:hAnsi="Arial" w:cs="Arial"/>
          <w:i/>
          <w:color w:val="000000"/>
          <w:sz w:val="20"/>
          <w:szCs w:val="20"/>
        </w:rPr>
      </w:pPr>
      <w:r>
        <w:rPr>
          <w:rFonts w:ascii="Arial" w:eastAsia="Arial" w:hAnsi="Arial" w:cs="Arial"/>
          <w:i/>
          <w:color w:val="000000"/>
          <w:sz w:val="20"/>
          <w:szCs w:val="20"/>
        </w:rPr>
        <w:t>Itens (....): ...........;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Os resultados das avaliações serão divulgados por meio de mensagem no sistema.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Os exemplares colocados à disposição da Administração serão tratados como protótipos, podendo ser manuseados e desmontados pela equipe técnica responsável pela análise, não gerando direito a ressarcimento.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Após a divulgação do resultado final do certame, as amostras entregues deverão ser recolhidas pe</w:t>
      </w:r>
      <w:r w:rsidR="00374752">
        <w:rPr>
          <w:rFonts w:ascii="Arial" w:eastAsia="Arial" w:hAnsi="Arial" w:cs="Arial"/>
          <w:i/>
          <w:color w:val="000000"/>
          <w:sz w:val="20"/>
          <w:szCs w:val="20"/>
        </w:rPr>
        <w:t>los fornecedores no prazo de 30</w:t>
      </w:r>
      <w:r>
        <w:rPr>
          <w:rFonts w:ascii="Arial" w:eastAsia="Arial" w:hAnsi="Arial" w:cs="Arial"/>
          <w:i/>
          <w:color w:val="000000"/>
          <w:sz w:val="20"/>
          <w:szCs w:val="20"/>
        </w:rPr>
        <w:t xml:space="preserve"> (trinta) dias consecutivos, após o qual poderão ser descartadas pela Administração, sem direito a ressarcimento.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Os interessados deverão colocar à disposição da Administração todas as condições indispensáveis à realização de testes e fornecer, sem ônus, os manuais impressos em língua portuguesa, necessários ao seu perfeito manuseio, quando for o caso.</w:t>
      </w:r>
    </w:p>
    <w:p w:rsidR="00A41088" w:rsidRDefault="005E13F6">
      <w:pPr>
        <w:pStyle w:val="normal0"/>
        <w:keepNext/>
        <w:keepLines/>
        <w:pBdr>
          <w:top w:val="nil"/>
          <w:left w:val="nil"/>
          <w:bottom w:val="nil"/>
          <w:right w:val="nil"/>
          <w:between w:val="nil"/>
        </w:pBdr>
        <w:tabs>
          <w:tab w:val="left" w:pos="567"/>
        </w:tabs>
        <w:spacing w:before="120" w:after="288" w:line="312" w:lineRule="auto"/>
        <w:ind w:hanging="357"/>
        <w:jc w:val="both"/>
        <w:rPr>
          <w:rFonts w:ascii="Arial" w:eastAsia="Arial" w:hAnsi="Arial" w:cs="Arial"/>
          <w:b/>
          <w:color w:val="000000"/>
          <w:sz w:val="20"/>
          <w:szCs w:val="20"/>
        </w:rPr>
      </w:pPr>
      <w:r>
        <w:rPr>
          <w:rFonts w:ascii="Arial" w:eastAsia="Arial" w:hAnsi="Arial" w:cs="Arial"/>
          <w:b/>
          <w:color w:val="000000"/>
          <w:sz w:val="20"/>
          <w:szCs w:val="20"/>
        </w:rPr>
        <w:t>Subcontratação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Não é admitida a subcontratação do objeto contratual.</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000000"/>
          <w:sz w:val="20"/>
          <w:szCs w:val="20"/>
          <w:u w:val="single"/>
        </w:rPr>
      </w:pPr>
      <w:r>
        <w:rPr>
          <w:rFonts w:ascii="Arial" w:eastAsia="Arial" w:hAnsi="Arial" w:cs="Arial"/>
          <w:b/>
          <w:i/>
          <w:color w:val="FF0000"/>
          <w:sz w:val="20"/>
          <w:szCs w:val="20"/>
          <w:u w:val="single"/>
        </w:rPr>
        <w:t>OU</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É admitida a subcontratação parcial do objeto, nas seguintes condições:</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É vedada a subcontratação completa ou da parcela principal do objeto da contratação, a qual consiste em: (...)</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A subcontratação fica limitada a ... [parcela permitida/percentual]</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lastRenderedPageBreak/>
        <w:t>O contrato oferece maior detalhamento das regras que serão aplicadas em relação à subcontratação.</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Garantia da contratação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Não haverá exigência da garantia da contratação dos </w:t>
      </w:r>
      <w:hyperlink r:id="rId7" w:anchor="art96">
        <w:r>
          <w:rPr>
            <w:rFonts w:ascii="Arial" w:eastAsia="Arial" w:hAnsi="Arial" w:cs="Arial"/>
            <w:i/>
            <w:color w:val="000000"/>
            <w:sz w:val="20"/>
            <w:szCs w:val="20"/>
            <w:u w:val="single"/>
          </w:rPr>
          <w:t>artigos 96 e seguintes da Lei nº 14.133, de 2021</w:t>
        </w:r>
      </w:hyperlink>
      <w:r>
        <w:rPr>
          <w:rFonts w:ascii="Arial" w:eastAsia="Arial" w:hAnsi="Arial" w:cs="Arial"/>
          <w:i/>
          <w:color w:val="000000"/>
          <w:sz w:val="20"/>
          <w:szCs w:val="20"/>
        </w:rPr>
        <w:t>, pelas razões constantes do Estudo Técnico Preliminar.</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Será exigida a garantia da contratação de que tratam os </w:t>
      </w:r>
      <w:hyperlink r:id="rId8" w:anchor="art96">
        <w:r>
          <w:rPr>
            <w:rFonts w:ascii="Arial" w:eastAsia="Arial" w:hAnsi="Arial" w:cs="Arial"/>
            <w:i/>
            <w:color w:val="000000"/>
            <w:sz w:val="20"/>
            <w:szCs w:val="20"/>
            <w:u w:val="single"/>
          </w:rPr>
          <w:t>arts. 96 e seguintes da Lei nº 14.133, de 2021</w:t>
        </w:r>
      </w:hyperlink>
      <w:r>
        <w:rPr>
          <w:rFonts w:ascii="Arial" w:eastAsia="Arial" w:hAnsi="Arial" w:cs="Arial"/>
          <w:i/>
          <w:color w:val="000000"/>
          <w:sz w:val="20"/>
          <w:szCs w:val="20"/>
        </w:rPr>
        <w:t>, no percentual de ...% do valor contratual, conforme regras previstas no contrato.</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A garantia nas modalidades caução e fiança bancária deverá ser prestada em até XXXXXXX dias após XXXXXX [autorização da dispensa] OU [notificação] OU [assinatura do contrato] OU [outros – especificar]</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 xml:space="preserve">No caso de seguro-garantia sua apresentação deverá ocorrer, no máximo, até a data de assinatura do contrato.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O contrato oferece maior detalhamento das regras que serão aplicadas em relação à garantia da contratação.</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jc w:val="both"/>
      </w:pPr>
      <w:r>
        <w:rPr>
          <w:rFonts w:ascii="Arial" w:eastAsia="Arial" w:hAnsi="Arial" w:cs="Arial"/>
          <w:b/>
          <w:color w:val="000000"/>
          <w:sz w:val="20"/>
          <w:szCs w:val="20"/>
        </w:rPr>
        <w:t>MODELO DE EXECUÇÃO DO OBJETO</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Condições de Entrega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O prazo de entrega dos bens é de ......... dias, contados do(a) ................................, em remessa única. </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As parcelas serão entregues nos seguintes prazos e condições:</w:t>
      </w: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3"/>
        <w:gridCol w:w="4627"/>
        <w:gridCol w:w="3021"/>
      </w:tblGrid>
      <w:tr w:rsidR="00A41088">
        <w:tc>
          <w:tcPr>
            <w:tcW w:w="1413"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Parcela</w:t>
            </w:r>
          </w:p>
        </w:tc>
        <w:tc>
          <w:tcPr>
            <w:tcW w:w="4627"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Composição da parcela</w:t>
            </w:r>
          </w:p>
        </w:tc>
        <w:tc>
          <w:tcPr>
            <w:tcW w:w="3021"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Prazo de entrega</w:t>
            </w:r>
          </w:p>
        </w:tc>
      </w:tr>
      <w:tr w:rsidR="00A41088">
        <w:tc>
          <w:tcPr>
            <w:tcW w:w="1413"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1ª</w:t>
            </w:r>
          </w:p>
        </w:tc>
        <w:tc>
          <w:tcPr>
            <w:tcW w:w="4627"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 unidades do item ..., ... unidades do item ...</w:t>
            </w:r>
          </w:p>
        </w:tc>
        <w:tc>
          <w:tcPr>
            <w:tcW w:w="3021" w:type="dxa"/>
          </w:tcPr>
          <w:p w:rsidR="00A41088" w:rsidRDefault="00A41088">
            <w:pPr>
              <w:pStyle w:val="normal0"/>
              <w:spacing w:before="120" w:after="288" w:line="312" w:lineRule="auto"/>
              <w:rPr>
                <w:rFonts w:ascii="Arial" w:eastAsia="Arial" w:hAnsi="Arial" w:cs="Arial"/>
                <w:sz w:val="20"/>
                <w:szCs w:val="20"/>
              </w:rPr>
            </w:pPr>
          </w:p>
        </w:tc>
      </w:tr>
      <w:tr w:rsidR="00A41088">
        <w:tc>
          <w:tcPr>
            <w:tcW w:w="1413"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lastRenderedPageBreak/>
              <w:t>2ª</w:t>
            </w:r>
          </w:p>
        </w:tc>
        <w:tc>
          <w:tcPr>
            <w:tcW w:w="4627"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 unidades do item ..., ... unidades do item ...</w:t>
            </w:r>
          </w:p>
        </w:tc>
        <w:tc>
          <w:tcPr>
            <w:tcW w:w="3021" w:type="dxa"/>
          </w:tcPr>
          <w:p w:rsidR="00A41088" w:rsidRDefault="00A41088">
            <w:pPr>
              <w:pStyle w:val="normal0"/>
              <w:spacing w:before="120" w:after="288" w:line="312" w:lineRule="auto"/>
              <w:rPr>
                <w:rFonts w:ascii="Arial" w:eastAsia="Arial" w:hAnsi="Arial" w:cs="Arial"/>
                <w:sz w:val="20"/>
                <w:szCs w:val="20"/>
              </w:rPr>
            </w:pPr>
          </w:p>
        </w:tc>
      </w:tr>
      <w:tr w:rsidR="00A41088">
        <w:tc>
          <w:tcPr>
            <w:tcW w:w="1413"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3ª</w:t>
            </w:r>
          </w:p>
        </w:tc>
        <w:tc>
          <w:tcPr>
            <w:tcW w:w="4627"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 unidades do item ..., ... unidades do item ...</w:t>
            </w:r>
          </w:p>
        </w:tc>
        <w:tc>
          <w:tcPr>
            <w:tcW w:w="3021" w:type="dxa"/>
          </w:tcPr>
          <w:p w:rsidR="00A41088" w:rsidRDefault="00A41088">
            <w:pPr>
              <w:pStyle w:val="normal0"/>
              <w:spacing w:before="120" w:after="288" w:line="312" w:lineRule="auto"/>
              <w:rPr>
                <w:rFonts w:ascii="Arial" w:eastAsia="Arial" w:hAnsi="Arial" w:cs="Arial"/>
                <w:sz w:val="20"/>
                <w:szCs w:val="20"/>
              </w:rPr>
            </w:pPr>
          </w:p>
        </w:tc>
      </w:tr>
      <w:tr w:rsidR="00A41088">
        <w:tc>
          <w:tcPr>
            <w:tcW w:w="1413"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w:t>
            </w:r>
          </w:p>
        </w:tc>
        <w:tc>
          <w:tcPr>
            <w:tcW w:w="4627" w:type="dxa"/>
          </w:tcPr>
          <w:p w:rsidR="00A41088" w:rsidRDefault="005E13F6">
            <w:pPr>
              <w:pStyle w:val="normal0"/>
              <w:spacing w:before="120" w:after="288" w:line="312" w:lineRule="auto"/>
              <w:rPr>
                <w:rFonts w:ascii="Arial" w:eastAsia="Arial" w:hAnsi="Arial" w:cs="Arial"/>
                <w:sz w:val="20"/>
                <w:szCs w:val="20"/>
              </w:rPr>
            </w:pPr>
            <w:r>
              <w:rPr>
                <w:rFonts w:ascii="Arial" w:eastAsia="Arial" w:hAnsi="Arial" w:cs="Arial"/>
                <w:sz w:val="20"/>
                <w:szCs w:val="20"/>
              </w:rPr>
              <w:t>... unidades do item ..., ... unidades do item ...</w:t>
            </w:r>
          </w:p>
        </w:tc>
        <w:tc>
          <w:tcPr>
            <w:tcW w:w="3021" w:type="dxa"/>
          </w:tcPr>
          <w:p w:rsidR="00A41088" w:rsidRDefault="00A41088">
            <w:pPr>
              <w:pStyle w:val="normal0"/>
              <w:spacing w:before="120" w:after="288" w:line="312" w:lineRule="auto"/>
              <w:rPr>
                <w:rFonts w:ascii="Arial" w:eastAsia="Arial" w:hAnsi="Arial" w:cs="Arial"/>
                <w:sz w:val="20"/>
                <w:szCs w:val="20"/>
              </w:rPr>
            </w:pPr>
          </w:p>
        </w:tc>
      </w:tr>
    </w:tbl>
    <w:p w:rsidR="00A41088" w:rsidRDefault="00A41088">
      <w:pPr>
        <w:pStyle w:val="normal0"/>
        <w:pBdr>
          <w:top w:val="nil"/>
          <w:left w:val="nil"/>
          <w:bottom w:val="nil"/>
          <w:right w:val="nil"/>
          <w:between w:val="nil"/>
        </w:pBdr>
        <w:spacing w:before="120" w:after="288" w:line="312" w:lineRule="auto"/>
        <w:ind w:left="709"/>
        <w:jc w:val="both"/>
        <w:rPr>
          <w:rFonts w:ascii="Arial" w:eastAsia="Arial" w:hAnsi="Arial" w:cs="Arial"/>
          <w:i/>
          <w:color w:val="FF0000"/>
          <w:sz w:val="20"/>
          <w:szCs w:val="20"/>
        </w:rPr>
      </w:pP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b/>
          <w:i/>
          <w:color w:val="000000"/>
          <w:sz w:val="20"/>
          <w:szCs w:val="20"/>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Os bens deverão ser entregues no seguinte endereço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highlight w:val="yellow"/>
        </w:rPr>
      </w:pPr>
      <w:r>
        <w:rPr>
          <w:rFonts w:ascii="Arial" w:eastAsia="Arial" w:hAnsi="Arial" w:cs="Arial"/>
          <w:i/>
          <w:color w:val="000000"/>
          <w:sz w:val="20"/>
          <w:szCs w:val="20"/>
          <w:highlight w:val="yellow"/>
        </w:rPr>
        <w:t>No caso de produtos perecíveis, o prazo de validade na data da entrega não poderá ser inferior a ...... (......) (dias ou meses ou anos), ou a (metade, um terço, dois terços etc.) do prazo total recomendado pelo fabricante.</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 xml:space="preserve">Garantia, manutenção e assistência técnica </w:t>
      </w:r>
    </w:p>
    <w:p w:rsidR="00A41088" w:rsidRDefault="005E13F6">
      <w:pPr>
        <w:pStyle w:val="normal0"/>
        <w:numPr>
          <w:ilvl w:val="1"/>
          <w:numId w:val="3"/>
        </w:numPr>
        <w:pBdr>
          <w:top w:val="nil"/>
          <w:left w:val="nil"/>
          <w:bottom w:val="nil"/>
          <w:right w:val="nil"/>
          <w:between w:val="nil"/>
        </w:pBdr>
        <w:spacing w:before="120" w:after="288" w:line="312" w:lineRule="auto"/>
        <w:jc w:val="both"/>
      </w:pPr>
      <w:r>
        <w:rPr>
          <w:rFonts w:ascii="Arial" w:eastAsia="Arial" w:hAnsi="Arial" w:cs="Arial"/>
          <w:color w:val="000000"/>
          <w:sz w:val="20"/>
          <w:szCs w:val="20"/>
        </w:rPr>
        <w:t>O prazo de garantia é aquele estabelecido na Lei nº 8.078, de 11 de setembro de 1990 (Código de Defesa do Consumidor)</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 xml:space="preserve">OU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O prazo de garantia contratual dos bens, complementar à garantia legal, será de, no mínimo, ___ (____) meses, contado a partir do primeiro dia útil subsequente à data do recebimento definitivo do objeto.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Caso o prazo da garantia oferecida pelo fabricante seja inferior ao estabelecido nesta cláusula, o fornecedor deverá complementar a garantia do bem ofertado pelo período restante. </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000000"/>
          <w:sz w:val="20"/>
          <w:szCs w:val="20"/>
          <w:u w:val="single"/>
        </w:rPr>
      </w:pPr>
      <w:r>
        <w:rPr>
          <w:rFonts w:ascii="Arial" w:eastAsia="Arial" w:hAnsi="Arial" w:cs="Arial"/>
          <w:b/>
          <w:i/>
          <w:color w:val="FF0000"/>
          <w:sz w:val="20"/>
          <w:szCs w:val="20"/>
          <w:u w:val="single"/>
        </w:rPr>
        <w:t>OU</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lastRenderedPageBreak/>
        <w:t xml:space="preserve">A garantia será prestada com vistas a manter os equipamentos fornecidos em perfeitas condições de uso, sem qualquer ônus ou custo adicional para o Contratante.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A garantia abrange a realização da manutenção corretiva dos bens pelo próprio Contratado, ou, se for o caso, por meio de assistência técnica autorizada, de acordo com as normas técnicas específicas.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Entende-se por manutenção corretiva aquela destinada a corrigir os defeitos apresentados pelos bens, compreendendo a substituição de peças, a realização de ajustes, reparos e correções necessárias.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O prazo indicado no subitem anterior, durante seu transcurso, poderá ser prorrogado uma única vez, por igual período, mediante solicitação escrita e justificada do Contratado, aceita pelo Contratante.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O custo referente ao transporte dos equipamentos cobertos pela garantia será de responsabilidade do Contratado.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 xml:space="preserve">A garantia legal ou contratual do objeto tem prazo de vigência próprio e desvinculado daquele fixado no contrato, permitindo eventual aplicação de penalidades em caso </w:t>
      </w:r>
      <w:r>
        <w:rPr>
          <w:rFonts w:ascii="Arial" w:eastAsia="Arial" w:hAnsi="Arial" w:cs="Arial"/>
          <w:i/>
          <w:color w:val="000000"/>
          <w:sz w:val="20"/>
          <w:szCs w:val="20"/>
        </w:rPr>
        <w:lastRenderedPageBreak/>
        <w:t>de descumprimento de alguma de suas condições, mesmo depois de expirada a vigência contratual.</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jc w:val="both"/>
      </w:pPr>
      <w:r>
        <w:rPr>
          <w:rFonts w:ascii="Arial" w:eastAsia="Arial" w:hAnsi="Arial" w:cs="Arial"/>
          <w:b/>
          <w:color w:val="000000"/>
          <w:sz w:val="20"/>
          <w:szCs w:val="20"/>
        </w:rPr>
        <w:t>MODELO DE GESTÃO DO CONTRATO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contrato deverá ser executado fielmente pelas partes, de acordo com as cláusulas avençadas e as normas da Lei nº 14.133, de 2021, e cada parte responderá pelas consequências de sua inexecução total ou parcial.</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Em caso de impedimento, ordem de paralisação ou suspensão do contrato, o cronograma de execução será prorrogado automaticamente pelo tempo correspondente, anotadas tais circunstâncias mediante simples apostila.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As comunicações entre o órgão ou entidade e a contratada devem ser realizadas por escrito sempre que o ato exigir tal formalidade, admitindo-se o uso de mensagem eletrônica para esse fim.</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 órgão ou entidade poderá convocar representante da empresa para adoção de providências que devam ser cumpridas de imediato.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Após a assinatura do contrato ou instrumento equivalente</w:t>
      </w:r>
      <w:r>
        <w:rPr>
          <w:rFonts w:ascii="Arial" w:eastAsia="Arial" w:hAnsi="Arial" w:cs="Arial"/>
          <w:i/>
          <w:strike/>
          <w:color w:val="000000"/>
          <w:sz w:val="20"/>
          <w:szCs w:val="20"/>
        </w:rPr>
        <w:t>,</w:t>
      </w:r>
      <w:r>
        <w:rPr>
          <w:rFonts w:ascii="Arial" w:eastAsia="Arial" w:hAnsi="Arial" w:cs="Arial"/>
          <w:i/>
          <w:color w:val="000000"/>
          <w:sz w:val="20"/>
          <w:szCs w:val="20"/>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A execução do contrato deverá ser acompanhada e fiscalizada pelo(s) fiscal(is) do contrato, ou pelos respectivos substitutos (</w:t>
      </w:r>
      <w:hyperlink r:id="rId9" w:anchor="art117">
        <w:r>
          <w:rPr>
            <w:rFonts w:ascii="Arial" w:eastAsia="Arial" w:hAnsi="Arial" w:cs="Arial"/>
            <w:color w:val="000080"/>
            <w:sz w:val="20"/>
            <w:szCs w:val="20"/>
            <w:u w:val="single"/>
          </w:rPr>
          <w:t>Lei nº 14.133, de 2021, art. 117, caput</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fiscal técnico do contrato acompanhará a execução do contrato, para que sejam cumpridas todas as condições estabelecidas no contrato, de modo a assegurar os melhores resultados para a Administração. (Decreto nº 11.246, de 2022, art. 22, VI);</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O fiscal técnico do contrato anotará no histórico de gerenciamento do contrato todas as ocorrências relacionadas à execução do contrato, com a descrição do que for necessário para a regularização das faltas ou dos defeitos observados. (</w:t>
      </w:r>
      <w:hyperlink r:id="rId10" w:anchor="art117%C2%A71">
        <w:r>
          <w:rPr>
            <w:rFonts w:ascii="Arial" w:eastAsia="Arial" w:hAnsi="Arial" w:cs="Arial"/>
            <w:color w:val="000080"/>
            <w:sz w:val="20"/>
            <w:szCs w:val="20"/>
            <w:u w:val="single"/>
          </w:rPr>
          <w:t>Lei nº 14.133, de 2021, art. 117, §1º</w:t>
        </w:r>
      </w:hyperlink>
      <w:r>
        <w:rPr>
          <w:rFonts w:ascii="Arial" w:eastAsia="Arial" w:hAnsi="Arial" w:cs="Arial"/>
          <w:color w:val="000000"/>
          <w:sz w:val="20"/>
          <w:szCs w:val="20"/>
        </w:rPr>
        <w:t xml:space="preserve">, e </w:t>
      </w:r>
      <w:hyperlink r:id="rId11" w:anchor="art22">
        <w:r>
          <w:rPr>
            <w:rFonts w:ascii="Arial" w:eastAsia="Arial" w:hAnsi="Arial" w:cs="Arial"/>
            <w:color w:val="000080"/>
            <w:sz w:val="20"/>
            <w:szCs w:val="20"/>
            <w:u w:val="single"/>
          </w:rPr>
          <w:t>Decreto nº 11.246, de 2022, art. 22, II);</w:t>
        </w:r>
      </w:hyperlink>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Identificada qualquer inexatidão ou irregularidade, o fiscal técnico do contrato emitirá notificações para a correção da execução do contrato, determinando prazo para a correção. (</w:t>
      </w:r>
      <w:hyperlink r:id="rId12" w:anchor="art22">
        <w:r>
          <w:rPr>
            <w:rFonts w:ascii="Arial" w:eastAsia="Arial" w:hAnsi="Arial" w:cs="Arial"/>
            <w:color w:val="000080"/>
            <w:sz w:val="20"/>
            <w:szCs w:val="20"/>
            <w:u w:val="single"/>
          </w:rPr>
          <w:t>Decreto nº 11.246, de 2022, art. 22, III</w:t>
        </w:r>
      </w:hyperlink>
      <w:r>
        <w:rPr>
          <w:rFonts w:ascii="Arial" w:eastAsia="Arial" w:hAnsi="Arial" w:cs="Arial"/>
          <w:color w:val="000000"/>
          <w:sz w:val="20"/>
          <w:szCs w:val="20"/>
        </w:rPr>
        <w:t xml:space="preserve">); </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lastRenderedPageBreak/>
        <w:t>O fiscal técnico do contrato informará ao gestor do contato, em tempo hábil, a situação que demandar decisão ou adoção de medidas que ultrapassem sua competência, para que adote as medidas necessárias e saneadoras, se for o caso. (</w:t>
      </w:r>
      <w:hyperlink r:id="rId13" w:anchor="art22">
        <w:r>
          <w:rPr>
            <w:rFonts w:ascii="Arial" w:eastAsia="Arial" w:hAnsi="Arial" w:cs="Arial"/>
            <w:color w:val="000080"/>
            <w:sz w:val="20"/>
            <w:szCs w:val="20"/>
            <w:u w:val="single"/>
          </w:rPr>
          <w:t>Decreto nº 11.246, de 2022, art. 22, IV</w:t>
        </w:r>
      </w:hyperlink>
      <w:r>
        <w:rPr>
          <w:rFonts w:ascii="Arial" w:eastAsia="Arial" w:hAnsi="Arial" w:cs="Arial"/>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No caso de ocorrências que possam inviabilizar a execução do contrato nas datas aprazadas, o fiscal técnico do contrato comunicará o fato imediatamente ao gestor do contrato. (</w:t>
      </w:r>
      <w:hyperlink r:id="rId14" w:anchor="art22">
        <w:r>
          <w:rPr>
            <w:rFonts w:ascii="Arial" w:eastAsia="Arial" w:hAnsi="Arial" w:cs="Arial"/>
            <w:color w:val="000080"/>
            <w:sz w:val="20"/>
            <w:szCs w:val="20"/>
            <w:u w:val="single"/>
          </w:rPr>
          <w:t>Decreto nº 11.246, de 2022, art. 22, V</w:t>
        </w:r>
      </w:hyperlink>
      <w:r>
        <w:rPr>
          <w:rFonts w:ascii="Arial" w:eastAsia="Arial" w:hAnsi="Arial" w:cs="Arial"/>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 xml:space="preserve">O fiscal técnico do contrato comunicar ao gestor do contrato, em tempo hábil, o término do contrato sob sua responsabilidade, com vistas à renovação tempestiva ou à prorrogação contratual </w:t>
      </w:r>
      <w:hyperlink r:id="rId15" w:anchor="art22">
        <w:r>
          <w:rPr>
            <w:rFonts w:ascii="Arial" w:eastAsia="Arial" w:hAnsi="Arial" w:cs="Arial"/>
            <w:color w:val="000080"/>
            <w:sz w:val="20"/>
            <w:szCs w:val="20"/>
            <w:u w:val="single"/>
          </w:rPr>
          <w:t>(Decreto nº 11.246, de 2022, art. 22, VII</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6" w:anchor="art23">
        <w:r>
          <w:rPr>
            <w:rFonts w:ascii="Arial" w:eastAsia="Arial" w:hAnsi="Arial" w:cs="Arial"/>
            <w:color w:val="000080"/>
            <w:sz w:val="20"/>
            <w:szCs w:val="20"/>
            <w:u w:val="single"/>
          </w:rPr>
          <w:t>Art. 23, I e II, do Decreto nº 11.246, de 2022</w:t>
        </w:r>
      </w:hyperlink>
      <w:r>
        <w:rPr>
          <w:rFonts w:ascii="Arial" w:eastAsia="Arial" w:hAnsi="Arial" w:cs="Arial"/>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Caso ocorram descumprimento das obrigações contratuais, o fiscal administrativo do contrato atuará tempestivamente na solução do problema, reportando ao gestor do contrato para que tome as providências cabíveis, quando ultrapassar a sua competência; (</w:t>
      </w:r>
      <w:hyperlink r:id="rId17" w:anchor="art23">
        <w:r>
          <w:rPr>
            <w:rFonts w:ascii="Arial" w:eastAsia="Arial" w:hAnsi="Arial" w:cs="Arial"/>
            <w:color w:val="000080"/>
            <w:sz w:val="20"/>
            <w:szCs w:val="20"/>
            <w:u w:val="single"/>
          </w:rPr>
          <w:t>Decreto nº 11.246, de 2022, art. 23, IV</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18" w:anchor="art21">
        <w:r>
          <w:rPr>
            <w:rFonts w:ascii="Arial" w:eastAsia="Arial" w:hAnsi="Arial" w:cs="Arial"/>
            <w:color w:val="000080"/>
            <w:sz w:val="20"/>
            <w:szCs w:val="20"/>
            <w:u w:val="single"/>
          </w:rPr>
          <w:t>Decreto nº 11.246, de 2022, art. 21, IV</w:t>
        </w:r>
      </w:hyperlink>
      <w:r>
        <w:rPr>
          <w:rFonts w:ascii="Arial" w:eastAsia="Arial" w:hAnsi="Arial" w:cs="Arial"/>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19" w:anchor="art21">
        <w:r>
          <w:rPr>
            <w:rFonts w:ascii="Arial" w:eastAsia="Arial" w:hAnsi="Arial" w:cs="Arial"/>
            <w:color w:val="000080"/>
            <w:sz w:val="20"/>
            <w:szCs w:val="20"/>
            <w:u w:val="single"/>
          </w:rPr>
          <w:t>Decreto nº 11.246, de 2022, art. 21, III</w:t>
        </w:r>
      </w:hyperlink>
      <w:r>
        <w:rPr>
          <w:rFonts w:ascii="Arial" w:eastAsia="Arial" w:hAnsi="Arial" w:cs="Arial"/>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20" w:anchor="art21">
        <w:r>
          <w:rPr>
            <w:rFonts w:ascii="Arial" w:eastAsia="Arial" w:hAnsi="Arial" w:cs="Arial"/>
            <w:color w:val="000080"/>
            <w:sz w:val="20"/>
            <w:szCs w:val="20"/>
            <w:u w:val="single"/>
          </w:rPr>
          <w:t>Decreto nº 11.246, de 2022, art. 21, II</w:t>
        </w:r>
      </w:hyperlink>
      <w:r>
        <w:rPr>
          <w:rFonts w:ascii="Arial" w:eastAsia="Arial" w:hAnsi="Arial" w:cs="Arial"/>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w:t>
      </w:r>
      <w:r>
        <w:rPr>
          <w:rFonts w:ascii="Arial" w:eastAsia="Arial" w:hAnsi="Arial" w:cs="Arial"/>
          <w:color w:val="000000"/>
          <w:sz w:val="20"/>
          <w:szCs w:val="20"/>
        </w:rPr>
        <w:lastRenderedPageBreak/>
        <w:t>aferidos, e a eventuais penalidades aplicadas, devendo constar do cadastro de atesto de cumprimento de obrigações. (</w:t>
      </w:r>
      <w:hyperlink r:id="rId21" w:anchor="art21">
        <w:r>
          <w:rPr>
            <w:rFonts w:ascii="Arial" w:eastAsia="Arial" w:hAnsi="Arial" w:cs="Arial"/>
            <w:color w:val="000080"/>
            <w:sz w:val="20"/>
            <w:szCs w:val="20"/>
            <w:u w:val="single"/>
          </w:rPr>
          <w:t>Decreto nº 11.246, de 2022, art. 21, VIII</w:t>
        </w:r>
      </w:hyperlink>
      <w:r>
        <w:rPr>
          <w:rFonts w:ascii="Arial" w:eastAsia="Arial" w:hAnsi="Arial" w:cs="Arial"/>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hyperlink r:id="rId22" w:anchor="art21">
        <w:r>
          <w:rPr>
            <w:rFonts w:ascii="Arial" w:eastAsia="Arial" w:hAnsi="Arial" w:cs="Arial"/>
            <w:color w:val="000080"/>
            <w:sz w:val="20"/>
            <w:szCs w:val="20"/>
            <w:u w:val="single"/>
          </w:rPr>
          <w:t>Decreto nº 11.246, de 2022, art. 21, X</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fiscal administrativo do contrato comunicará ao gestor do contrato, em tempo hábil, o término do contrato sob sua responsabilidade, com vistas à tempestiva renovação ou prorrogação contratual. (</w:t>
      </w:r>
      <w:hyperlink r:id="rId23" w:anchor="art22">
        <w:r>
          <w:rPr>
            <w:rFonts w:ascii="Arial" w:eastAsia="Arial" w:hAnsi="Arial" w:cs="Arial"/>
            <w:color w:val="000080"/>
            <w:sz w:val="20"/>
            <w:szCs w:val="20"/>
            <w:u w:val="single"/>
          </w:rPr>
          <w:t>Decreto nº 11.246, de 2022, art. 22, VII</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 gestor do contrato deverá elaborará relatório final com informações sobre a consecução dos objetivos que tenham justificado a contratação e eventuais condutas a serem adotadas para o aprimoramento das atividades da Administração. (</w:t>
      </w:r>
      <w:hyperlink r:id="rId24" w:anchor="art21">
        <w:r>
          <w:rPr>
            <w:rFonts w:ascii="Arial" w:eastAsia="Arial" w:hAnsi="Arial" w:cs="Arial"/>
            <w:color w:val="000080"/>
            <w:sz w:val="20"/>
            <w:szCs w:val="20"/>
            <w:u w:val="single"/>
          </w:rPr>
          <w:t>Decreto nº 11.246, de 2022, art. 21, VI</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Além do disposto acima, a fiscalização contratual obedecerá às seguintes rotinas:</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jc w:val="both"/>
      </w:pPr>
      <w:r>
        <w:rPr>
          <w:rFonts w:ascii="Arial" w:eastAsia="Arial" w:hAnsi="Arial" w:cs="Arial"/>
          <w:b/>
          <w:color w:val="000000"/>
          <w:sz w:val="20"/>
          <w:szCs w:val="20"/>
        </w:rPr>
        <w:t>CRITÉRIOS DE MEDIÇÃO E DE PAGAMENTO</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Recebimento do Objeto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w:t>
      </w:r>
      <w:r>
        <w:rPr>
          <w:rFonts w:ascii="Arial" w:eastAsia="Arial" w:hAnsi="Arial" w:cs="Arial"/>
          <w:color w:val="FF0000"/>
          <w:sz w:val="20"/>
          <w:szCs w:val="20"/>
        </w:rPr>
        <w:t xml:space="preserve"> </w:t>
      </w:r>
      <w:r>
        <w:rPr>
          <w:rFonts w:ascii="Arial" w:eastAsia="Arial" w:hAnsi="Arial" w:cs="Arial"/>
          <w:color w:val="000000"/>
          <w:sz w:val="20"/>
          <w:szCs w:val="20"/>
        </w:rPr>
        <w:t>e na proposta.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Os bens poderão ser rejeitados, no todo ou em parte, inclusive antes do recebimento provisório, quando em desacordo com as especificações constantes no Termo de Referência</w:t>
      </w:r>
      <w:r>
        <w:rPr>
          <w:rFonts w:ascii="Arial" w:eastAsia="Arial" w:hAnsi="Arial" w:cs="Arial"/>
          <w:color w:val="FF0000"/>
          <w:sz w:val="20"/>
          <w:szCs w:val="20"/>
        </w:rPr>
        <w:t xml:space="preserve"> </w:t>
      </w:r>
      <w:r>
        <w:rPr>
          <w:rFonts w:ascii="Arial" w:eastAsia="Arial" w:hAnsi="Arial" w:cs="Arial"/>
          <w:color w:val="000000"/>
          <w:sz w:val="20"/>
          <w:szCs w:val="20"/>
        </w:rPr>
        <w:t xml:space="preserve">e na proposta, devendo ser substituídos no prazo de </w:t>
      </w:r>
      <w:r>
        <w:rPr>
          <w:rFonts w:ascii="Arial" w:eastAsia="Arial" w:hAnsi="Arial" w:cs="Arial"/>
          <w:color w:val="FF0000"/>
          <w:sz w:val="20"/>
          <w:szCs w:val="20"/>
        </w:rPr>
        <w:t xml:space="preserve">.... (...) </w:t>
      </w:r>
      <w:r>
        <w:rPr>
          <w:rFonts w:ascii="Arial" w:eastAsia="Arial" w:hAnsi="Arial" w:cs="Arial"/>
          <w:color w:val="000000"/>
          <w:sz w:val="20"/>
          <w:szCs w:val="20"/>
        </w:rPr>
        <w:t>dias, a contar da notificação da contratada, às suas custas, sem prejuízo da aplicação das penalidades.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lastRenderedPageBreak/>
        <w:t xml:space="preserve">O recebimento definitivo ocorrerá no prazo de </w:t>
      </w:r>
      <w:r>
        <w:rPr>
          <w:rFonts w:ascii="Arial" w:eastAsia="Arial" w:hAnsi="Arial" w:cs="Arial"/>
          <w:color w:val="FF0000"/>
          <w:sz w:val="20"/>
          <w:szCs w:val="20"/>
        </w:rPr>
        <w:t xml:space="preserve">XXXX(XXXX) dias úteis, </w:t>
      </w:r>
      <w:r>
        <w:rPr>
          <w:rFonts w:ascii="Arial" w:eastAsia="Arial" w:hAnsi="Arial" w:cs="Arial"/>
          <w:color w:val="000000"/>
          <w:sz w:val="20"/>
          <w:szCs w:val="20"/>
        </w:rPr>
        <w:t>a contar do recebimento da nota fiscal ou instrumento de cobrança equivalente pela Administração, após a verificação da qualidade e quantidade do material e consequente aceitação mediante termo detalhado.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Para as contratações decorrentes de despesas cujos valores não ultrapassem o limite de que trata o </w:t>
      </w:r>
      <w:hyperlink r:id="rId25" w:anchor="art75">
        <w:r>
          <w:rPr>
            <w:rFonts w:ascii="Arial" w:eastAsia="Arial" w:hAnsi="Arial" w:cs="Arial"/>
            <w:color w:val="000080"/>
            <w:sz w:val="20"/>
            <w:szCs w:val="20"/>
            <w:u w:val="single"/>
          </w:rPr>
          <w:t>inciso II do art. 75 da Lei nº 14.133, de 2021</w:t>
        </w:r>
      </w:hyperlink>
      <w:r>
        <w:rPr>
          <w:rFonts w:ascii="Arial" w:eastAsia="Arial" w:hAnsi="Arial" w:cs="Arial"/>
          <w:color w:val="000000"/>
          <w:sz w:val="20"/>
          <w:szCs w:val="20"/>
        </w:rPr>
        <w:t xml:space="preserve">, o prazo máximo para o recebimento definitivo será de até </w:t>
      </w:r>
      <w:r>
        <w:rPr>
          <w:rFonts w:ascii="Arial" w:eastAsia="Arial" w:hAnsi="Arial" w:cs="Arial"/>
          <w:color w:val="FF0000"/>
          <w:sz w:val="20"/>
          <w:szCs w:val="20"/>
        </w:rPr>
        <w:t xml:space="preserve">XXXXX (XXX) </w:t>
      </w:r>
      <w:r>
        <w:rPr>
          <w:rFonts w:ascii="Arial" w:eastAsia="Arial" w:hAnsi="Arial" w:cs="Arial"/>
          <w:color w:val="000000"/>
          <w:sz w:val="20"/>
          <w:szCs w:val="20"/>
        </w:rPr>
        <w:t>dias úteis.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 prazo para recebimento definitivo poderá ser excepcionalmente prorrogado, de forma justificada, por igual período, quando houver necessidade de diligências para a aferição do atendimento das exigências contratuais.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No caso de controvérsia sobre a execução do objeto, quanto à dimensão, qualidade e quantidade, deverá ser observado o teor do </w:t>
      </w:r>
      <w:hyperlink r:id="rId26" w:anchor="art143">
        <w:r>
          <w:rPr>
            <w:rFonts w:ascii="Arial" w:eastAsia="Arial" w:hAnsi="Arial" w:cs="Arial"/>
            <w:color w:val="000080"/>
            <w:sz w:val="20"/>
            <w:szCs w:val="20"/>
            <w:u w:val="single"/>
          </w:rPr>
          <w:t>art. 143 da Lei nº 14.133, de 2021</w:t>
        </w:r>
      </w:hyperlink>
      <w:r>
        <w:rPr>
          <w:rFonts w:ascii="Arial" w:eastAsia="Arial" w:hAnsi="Arial" w:cs="Arial"/>
          <w:color w:val="000000"/>
          <w:sz w:val="20"/>
          <w:szCs w:val="20"/>
        </w:rPr>
        <w:t>, comunicando-se à empresa para emissão de Nota Fiscal no que pertine à parcela incontroversa da execução do objeto, para efeito de liquidação e pagamento.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 recebimento provisório ou definitivo não excluirá a responsabilidade civil pela solidez e pela segurança do serviço nem a responsabilidade ético-profissional pela perfeita execução do contrato.</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Liquidação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Recebida a Nota Fiscal ou documento de cobrança equivalente, correrá o prazo de </w:t>
      </w:r>
      <w:r w:rsidR="00CF2B4B">
        <w:rPr>
          <w:rFonts w:ascii="Arial" w:eastAsia="Arial" w:hAnsi="Arial" w:cs="Arial"/>
          <w:color w:val="000000"/>
          <w:sz w:val="20"/>
          <w:szCs w:val="20"/>
        </w:rPr>
        <w:t>10 (</w:t>
      </w:r>
      <w:r>
        <w:rPr>
          <w:rFonts w:ascii="Arial" w:eastAsia="Arial" w:hAnsi="Arial" w:cs="Arial"/>
          <w:color w:val="000000"/>
          <w:sz w:val="20"/>
          <w:szCs w:val="20"/>
        </w:rPr>
        <w:t>dez</w:t>
      </w:r>
      <w:r w:rsidR="00CF2B4B">
        <w:rPr>
          <w:rFonts w:ascii="Arial" w:eastAsia="Arial" w:hAnsi="Arial" w:cs="Arial"/>
          <w:color w:val="000000"/>
          <w:sz w:val="20"/>
          <w:szCs w:val="20"/>
        </w:rPr>
        <w:t>)</w:t>
      </w:r>
      <w:r>
        <w:rPr>
          <w:rFonts w:ascii="Arial" w:eastAsia="Arial" w:hAnsi="Arial" w:cs="Arial"/>
          <w:color w:val="000000"/>
          <w:sz w:val="20"/>
          <w:szCs w:val="20"/>
        </w:rPr>
        <w:t xml:space="preserve"> dias consecutivos para fins de liquidação, na forma desta seção, nos termos </w:t>
      </w:r>
      <w:hyperlink r:id="rId27">
        <w:r>
          <w:rPr>
            <w:rFonts w:ascii="Arial" w:eastAsia="Arial" w:hAnsi="Arial" w:cs="Arial"/>
            <w:color w:val="000080"/>
            <w:sz w:val="20"/>
            <w:szCs w:val="20"/>
            <w:u w:val="single"/>
          </w:rPr>
          <w:t>do artigo 9º, do Decreto Municipal 3.526, de 11 de Fevereiro de 2020</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Para fins de liquidação, o setor competente deverá verificar se a nota fiscal ou instrumento de cobrança equivalente apresentado expressa os elementos necessários e essenciais do documento, tais como: </w:t>
      </w:r>
    </w:p>
    <w:p w:rsidR="00A41088" w:rsidRDefault="005E13F6">
      <w:pPr>
        <w:pStyle w:val="normal0"/>
        <w:numPr>
          <w:ilvl w:val="0"/>
          <w:numId w:val="4"/>
        </w:numPr>
        <w:spacing w:before="120" w:line="312" w:lineRule="auto"/>
        <w:ind w:left="851" w:firstLine="0"/>
        <w:jc w:val="both"/>
        <w:rPr>
          <w:rFonts w:ascii="Arial" w:eastAsia="Arial" w:hAnsi="Arial" w:cs="Arial"/>
          <w:color w:val="000000"/>
          <w:sz w:val="20"/>
          <w:szCs w:val="20"/>
        </w:rPr>
      </w:pPr>
      <w:r>
        <w:rPr>
          <w:rFonts w:ascii="Arial" w:eastAsia="Arial" w:hAnsi="Arial" w:cs="Arial"/>
          <w:color w:val="000000"/>
          <w:sz w:val="20"/>
          <w:szCs w:val="20"/>
        </w:rPr>
        <w:t>o prazo de validade;</w:t>
      </w:r>
    </w:p>
    <w:p w:rsidR="00A41088" w:rsidRDefault="005E13F6">
      <w:pPr>
        <w:pStyle w:val="normal0"/>
        <w:numPr>
          <w:ilvl w:val="0"/>
          <w:numId w:val="4"/>
        </w:numPr>
        <w:spacing w:line="312" w:lineRule="auto"/>
        <w:ind w:left="851" w:firstLine="0"/>
        <w:jc w:val="both"/>
        <w:rPr>
          <w:rFonts w:ascii="Arial" w:eastAsia="Arial" w:hAnsi="Arial" w:cs="Arial"/>
          <w:color w:val="000000"/>
          <w:sz w:val="20"/>
          <w:szCs w:val="20"/>
        </w:rPr>
      </w:pPr>
      <w:r>
        <w:rPr>
          <w:rFonts w:ascii="Arial" w:eastAsia="Arial" w:hAnsi="Arial" w:cs="Arial"/>
          <w:color w:val="000000"/>
          <w:sz w:val="20"/>
          <w:szCs w:val="20"/>
        </w:rPr>
        <w:t xml:space="preserve">a data da emissão; </w:t>
      </w:r>
    </w:p>
    <w:p w:rsidR="00A41088" w:rsidRDefault="005E13F6">
      <w:pPr>
        <w:pStyle w:val="normal0"/>
        <w:numPr>
          <w:ilvl w:val="0"/>
          <w:numId w:val="4"/>
        </w:numPr>
        <w:spacing w:line="312" w:lineRule="auto"/>
        <w:ind w:left="851" w:firstLine="0"/>
        <w:jc w:val="both"/>
        <w:rPr>
          <w:rFonts w:ascii="Arial" w:eastAsia="Arial" w:hAnsi="Arial" w:cs="Arial"/>
          <w:color w:val="000000"/>
          <w:sz w:val="20"/>
          <w:szCs w:val="20"/>
        </w:rPr>
      </w:pPr>
      <w:r>
        <w:rPr>
          <w:rFonts w:ascii="Arial" w:eastAsia="Arial" w:hAnsi="Arial" w:cs="Arial"/>
          <w:color w:val="000000"/>
          <w:sz w:val="20"/>
          <w:szCs w:val="20"/>
        </w:rPr>
        <w:t xml:space="preserve">os dados do contrato e do órgão contratante; </w:t>
      </w:r>
    </w:p>
    <w:p w:rsidR="00A41088" w:rsidRDefault="005E13F6">
      <w:pPr>
        <w:pStyle w:val="normal0"/>
        <w:numPr>
          <w:ilvl w:val="0"/>
          <w:numId w:val="4"/>
        </w:numPr>
        <w:spacing w:line="312" w:lineRule="auto"/>
        <w:ind w:left="851" w:firstLine="0"/>
        <w:jc w:val="both"/>
        <w:rPr>
          <w:rFonts w:ascii="Arial" w:eastAsia="Arial" w:hAnsi="Arial" w:cs="Arial"/>
          <w:color w:val="000000"/>
          <w:sz w:val="20"/>
          <w:szCs w:val="20"/>
        </w:rPr>
      </w:pPr>
      <w:r>
        <w:rPr>
          <w:rFonts w:ascii="Arial" w:eastAsia="Arial" w:hAnsi="Arial" w:cs="Arial"/>
          <w:color w:val="000000"/>
          <w:sz w:val="20"/>
          <w:szCs w:val="20"/>
        </w:rPr>
        <w:t xml:space="preserve">o período respectivo de execução do contrato; </w:t>
      </w:r>
    </w:p>
    <w:p w:rsidR="00A41088" w:rsidRDefault="005E13F6">
      <w:pPr>
        <w:pStyle w:val="normal0"/>
        <w:numPr>
          <w:ilvl w:val="0"/>
          <w:numId w:val="4"/>
        </w:numPr>
        <w:spacing w:line="312" w:lineRule="auto"/>
        <w:ind w:left="851" w:firstLine="0"/>
        <w:jc w:val="both"/>
        <w:rPr>
          <w:rFonts w:ascii="Arial" w:eastAsia="Arial" w:hAnsi="Arial" w:cs="Arial"/>
          <w:color w:val="000000"/>
          <w:sz w:val="20"/>
          <w:szCs w:val="20"/>
        </w:rPr>
      </w:pPr>
      <w:r>
        <w:rPr>
          <w:rFonts w:ascii="Arial" w:eastAsia="Arial" w:hAnsi="Arial" w:cs="Arial"/>
          <w:color w:val="000000"/>
          <w:sz w:val="20"/>
          <w:szCs w:val="20"/>
        </w:rPr>
        <w:t xml:space="preserve">o valor a pagar; e </w:t>
      </w:r>
    </w:p>
    <w:p w:rsidR="00A41088" w:rsidRDefault="005E13F6">
      <w:pPr>
        <w:pStyle w:val="normal0"/>
        <w:numPr>
          <w:ilvl w:val="0"/>
          <w:numId w:val="4"/>
        </w:numPr>
        <w:spacing w:after="288" w:line="312" w:lineRule="auto"/>
        <w:ind w:left="851" w:firstLine="0"/>
        <w:jc w:val="both"/>
        <w:rPr>
          <w:rFonts w:ascii="Arial" w:eastAsia="Arial" w:hAnsi="Arial" w:cs="Arial"/>
          <w:color w:val="000000"/>
          <w:sz w:val="20"/>
          <w:szCs w:val="20"/>
        </w:rPr>
      </w:pPr>
      <w:r>
        <w:rPr>
          <w:rFonts w:ascii="Arial" w:eastAsia="Arial" w:hAnsi="Arial" w:cs="Arial"/>
          <w:color w:val="000000"/>
          <w:sz w:val="20"/>
          <w:szCs w:val="20"/>
        </w:rPr>
        <w:lastRenderedPageBreak/>
        <w:t>eventual destaque do valor de retenções tributárias cabíveis.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 A nota fiscal ou instrumento de cobrança equivalente deverá ser obrigatoriamente acompanhado da comprovação da regularidade fiscal, constatada por meio de consulta </w:t>
      </w:r>
      <w:r>
        <w:rPr>
          <w:rFonts w:ascii="Arial" w:eastAsia="Arial" w:hAnsi="Arial" w:cs="Arial"/>
          <w:i/>
          <w:color w:val="000000"/>
          <w:sz w:val="20"/>
          <w:szCs w:val="20"/>
        </w:rPr>
        <w:t>on-line</w:t>
      </w:r>
      <w:r>
        <w:rPr>
          <w:rFonts w:ascii="Arial" w:eastAsia="Arial" w:hAnsi="Arial" w:cs="Arial"/>
          <w:color w:val="000000"/>
          <w:sz w:val="20"/>
          <w:szCs w:val="20"/>
        </w:rPr>
        <w:t xml:space="preserve"> ao SICAF ou, na impossibilidade de acesso ao referido Sistema, mediante consulta aos sítios eletrônicos oficiais ou à documentação mencionada no </w:t>
      </w:r>
      <w:hyperlink r:id="rId28" w:anchor="art68">
        <w:r>
          <w:rPr>
            <w:rFonts w:ascii="Arial" w:eastAsia="Arial" w:hAnsi="Arial" w:cs="Arial"/>
            <w:color w:val="000080"/>
            <w:sz w:val="20"/>
            <w:szCs w:val="20"/>
            <w:u w:val="single"/>
          </w:rPr>
          <w:t xml:space="preserve">art. 68 da Lei nº 14.133, de 2021.  </w:t>
        </w:r>
      </w:hyperlink>
      <w:r>
        <w:rPr>
          <w:rFonts w:ascii="Arial" w:eastAsia="Arial" w:hAnsi="Arial" w:cs="Arial"/>
          <w:color w:val="000000"/>
          <w:sz w:val="20"/>
          <w:szCs w:val="20"/>
        </w:rPr>
        <w:t xml:space="preserve">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Persistindo a irregularidade, o contratante deverá adotar as medidas necessárias à rescisão contratual nos autos do processo administrativo correspondente, assegurada ao contratado a ampla defesa.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Havendo a efetiva execução do objeto, os pagamentos serão realizados normalmente, até que se decida pela rescisão do contrato, caso o contratado não regularize sua situação junto ao SICAF.  </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Prazo de pagamento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pagamento será efetuado no prazo de até 30 (trinta) dias consecutivos contados da finalização da liquidação da despesa, conforme seção anterior.</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lastRenderedPageBreak/>
        <w:t xml:space="preserve">No caso de atraso pelo Contratante, os valores devidos ao contratado serão atualizados monetariamente entre o termo final do prazo de pagamento até a data de sua efetiva realização, mediante aplicação do índice </w:t>
      </w:r>
      <w:r>
        <w:rPr>
          <w:rFonts w:ascii="Arial" w:eastAsia="Arial" w:hAnsi="Arial" w:cs="Arial"/>
          <w:b/>
          <w:color w:val="000000"/>
          <w:sz w:val="20"/>
          <w:szCs w:val="20"/>
        </w:rPr>
        <w:t>IPCA-e</w:t>
      </w:r>
      <w:r>
        <w:rPr>
          <w:rFonts w:ascii="Arial" w:eastAsia="Arial" w:hAnsi="Arial" w:cs="Arial"/>
          <w:color w:val="000000"/>
          <w:sz w:val="20"/>
          <w:szCs w:val="20"/>
        </w:rPr>
        <w:t xml:space="preserve"> de correção monetária.</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Forma de pagamento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 pagamento será realizado por meio de ordem bancária, para crédito em banco, agência e conta corrente indicados pelo contratado.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Será considerada data do pagamento o dia em que constar como emitida a ordem bancária para pagamento.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Quando do pagamento, será efetuada a retenção tributária prevista na legislação aplicável.</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Independentemente do percentual de tributo inserido na planilha, quando houver, serão retidos na fonte, quando da realização do pagamento, os percentuais estabelecidos na legislação vigente.</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O contratado regularmente optante pelo Simples Nacional, nos termos da </w:t>
      </w:r>
      <w:hyperlink r:id="rId29">
        <w:r>
          <w:rPr>
            <w:rFonts w:ascii="Arial" w:eastAsia="Arial" w:hAnsi="Arial" w:cs="Arial"/>
            <w:color w:val="000080"/>
            <w:sz w:val="20"/>
            <w:szCs w:val="20"/>
            <w:u w:val="single"/>
          </w:rPr>
          <w:t>Lei Complementar nº 123, de 2006</w:t>
        </w:r>
      </w:hyperlink>
      <w:r>
        <w:rPr>
          <w:rFonts w:ascii="Arial" w:eastAsia="Arial" w:hAnsi="Arial" w:cs="Arial"/>
          <w:color w:val="000000"/>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41088" w:rsidRDefault="005E13F6">
      <w:pPr>
        <w:pStyle w:val="normal0"/>
        <w:pBdr>
          <w:top w:val="nil"/>
          <w:left w:val="nil"/>
          <w:bottom w:val="nil"/>
          <w:right w:val="nil"/>
          <w:between w:val="nil"/>
        </w:pBdr>
        <w:spacing w:before="120" w:after="288" w:line="312" w:lineRule="auto"/>
        <w:ind w:left="709"/>
        <w:jc w:val="both"/>
        <w:rPr>
          <w:rFonts w:ascii="Arial" w:eastAsia="Arial" w:hAnsi="Arial" w:cs="Arial"/>
          <w:b/>
          <w:color w:val="000000"/>
          <w:sz w:val="20"/>
          <w:szCs w:val="20"/>
        </w:rPr>
      </w:pPr>
      <w:r>
        <w:rPr>
          <w:rFonts w:ascii="Arial" w:eastAsia="Arial" w:hAnsi="Arial" w:cs="Arial"/>
          <w:b/>
          <w:color w:val="000000"/>
          <w:sz w:val="20"/>
          <w:szCs w:val="20"/>
          <w:highlight w:val="yellow"/>
        </w:rPr>
        <w:t>ÍNDICE DE REAJUSTE CONTRATUAL</w:t>
      </w:r>
    </w:p>
    <w:p w:rsidR="00A41088" w:rsidRDefault="005E13F6">
      <w:pPr>
        <w:pStyle w:val="normal0"/>
        <w:numPr>
          <w:ilvl w:val="1"/>
          <w:numId w:val="3"/>
        </w:numPr>
        <w:pBdr>
          <w:top w:val="nil"/>
          <w:left w:val="nil"/>
          <w:bottom w:val="nil"/>
          <w:right w:val="nil"/>
          <w:between w:val="nil"/>
        </w:pBdr>
        <w:spacing w:before="120" w:after="288" w:line="312" w:lineRule="auto"/>
        <w:ind w:left="709"/>
        <w:jc w:val="both"/>
        <w:rPr>
          <w:rFonts w:ascii="Arial" w:eastAsia="Arial" w:hAnsi="Arial" w:cs="Arial"/>
        </w:rPr>
      </w:pPr>
      <w:r>
        <w:rPr>
          <w:rFonts w:ascii="Arial" w:eastAsia="Arial" w:hAnsi="Arial" w:cs="Arial"/>
          <w:b/>
          <w:color w:val="000000"/>
          <w:sz w:val="20"/>
          <w:szCs w:val="20"/>
        </w:rPr>
        <w:t xml:space="preserve">Após o interregno de um ano, e independentemente de pedido do contratado, os preços iniciais serão reajustados, mediante a aplicação, pelo contratante, </w:t>
      </w:r>
      <w:r>
        <w:rPr>
          <w:rFonts w:ascii="Arial" w:eastAsia="Arial" w:hAnsi="Arial" w:cs="Arial"/>
          <w:b/>
          <w:color w:val="000000"/>
          <w:sz w:val="20"/>
          <w:szCs w:val="20"/>
          <w:highlight w:val="yellow"/>
        </w:rPr>
        <w:t>do índice IPCA (ÍNDICE DE PREÇOS AO CONSUMIDOR AMPLO)</w:t>
      </w:r>
      <w:r>
        <w:rPr>
          <w:rFonts w:ascii="Arial" w:eastAsia="Arial" w:hAnsi="Arial" w:cs="Arial"/>
          <w:b/>
          <w:color w:val="000000"/>
          <w:sz w:val="20"/>
          <w:szCs w:val="20"/>
        </w:rPr>
        <w:t>, exclusivamente para as obrigações iniciadas e concluídas após a ocorrência da anualidade.</w:t>
      </w:r>
    </w:p>
    <w:p w:rsidR="00A41088" w:rsidRDefault="005E13F6">
      <w:pPr>
        <w:pStyle w:val="normal0"/>
        <w:pBdr>
          <w:top w:val="nil"/>
          <w:left w:val="nil"/>
          <w:bottom w:val="nil"/>
          <w:right w:val="nil"/>
          <w:between w:val="nil"/>
        </w:pBdr>
        <w:spacing w:before="120" w:after="288" w:line="312" w:lineRule="auto"/>
        <w:ind w:left="709"/>
        <w:jc w:val="both"/>
        <w:rPr>
          <w:rFonts w:ascii="Arial" w:eastAsia="Arial" w:hAnsi="Arial" w:cs="Arial"/>
          <w:b/>
          <w:color w:val="000000"/>
          <w:sz w:val="22"/>
          <w:szCs w:val="22"/>
        </w:rPr>
      </w:pPr>
      <w:r>
        <w:rPr>
          <w:rFonts w:ascii="Arial" w:eastAsia="Arial" w:hAnsi="Arial" w:cs="Arial"/>
          <w:b/>
          <w:color w:val="000000"/>
          <w:sz w:val="22"/>
          <w:szCs w:val="22"/>
          <w:highlight w:val="yellow"/>
        </w:rPr>
        <w:t>OBSERVAÇÃO: CASO A ÁREA DEMANDAN</w:t>
      </w:r>
      <w:r w:rsidR="00CF2B4B">
        <w:rPr>
          <w:rFonts w:ascii="Arial" w:eastAsia="Arial" w:hAnsi="Arial" w:cs="Arial"/>
          <w:b/>
          <w:color w:val="000000"/>
          <w:sz w:val="22"/>
          <w:szCs w:val="22"/>
          <w:highlight w:val="yellow"/>
        </w:rPr>
        <w:t>TE IDENTIFIQUE E CONCLUA QUE O Í</w:t>
      </w:r>
      <w:r>
        <w:rPr>
          <w:rFonts w:ascii="Arial" w:eastAsia="Arial" w:hAnsi="Arial" w:cs="Arial"/>
          <w:b/>
          <w:color w:val="000000"/>
          <w:sz w:val="22"/>
          <w:szCs w:val="22"/>
          <w:highlight w:val="yellow"/>
        </w:rPr>
        <w:t>NDICE APLICÁVEL É OUTRO, DIVERSO DO IPCA, O RESPONSÁVEL PELA ELABORAÇÃO DO TERMO DE REFERÊNCIA DEVERÁ INDICAR O ÍNDICE PERTINENTE.</w:t>
      </w:r>
    </w:p>
    <w:p w:rsidR="00A41088" w:rsidRDefault="005E13F6">
      <w:pPr>
        <w:pStyle w:val="normal0"/>
        <w:numPr>
          <w:ilvl w:val="1"/>
          <w:numId w:val="3"/>
        </w:numPr>
        <w:pBdr>
          <w:top w:val="nil"/>
          <w:left w:val="nil"/>
          <w:bottom w:val="nil"/>
          <w:right w:val="nil"/>
          <w:between w:val="nil"/>
        </w:pBdr>
        <w:spacing w:before="120" w:after="288" w:line="312" w:lineRule="auto"/>
        <w:ind w:left="709"/>
        <w:jc w:val="both"/>
        <w:rPr>
          <w:rFonts w:ascii="Arial" w:eastAsia="Arial" w:hAnsi="Arial" w:cs="Arial"/>
        </w:rPr>
      </w:pPr>
      <w:r>
        <w:rPr>
          <w:rFonts w:ascii="Arial" w:eastAsia="Arial" w:hAnsi="Arial" w:cs="Arial"/>
          <w:b/>
          <w:color w:val="000000"/>
          <w:sz w:val="20"/>
          <w:szCs w:val="20"/>
        </w:rPr>
        <w:t>Nos reajustes subsequentes ao primeiro, o interregno mínimo de um ano será contado a partir dos efeitos financeiros do último reajuste.</w:t>
      </w:r>
    </w:p>
    <w:p w:rsidR="00A41088" w:rsidRDefault="005E13F6">
      <w:pPr>
        <w:pStyle w:val="normal0"/>
        <w:numPr>
          <w:ilvl w:val="1"/>
          <w:numId w:val="3"/>
        </w:numPr>
        <w:pBdr>
          <w:top w:val="nil"/>
          <w:left w:val="nil"/>
          <w:bottom w:val="nil"/>
          <w:right w:val="nil"/>
          <w:between w:val="nil"/>
        </w:pBdr>
        <w:spacing w:before="120" w:after="288" w:line="312" w:lineRule="auto"/>
        <w:ind w:left="709"/>
        <w:jc w:val="both"/>
        <w:rPr>
          <w:rFonts w:ascii="Arial" w:eastAsia="Arial" w:hAnsi="Arial" w:cs="Arial"/>
        </w:rPr>
      </w:pPr>
      <w:r>
        <w:rPr>
          <w:rFonts w:ascii="Arial" w:eastAsia="Arial" w:hAnsi="Arial" w:cs="Arial"/>
          <w:b/>
          <w:color w:val="000000"/>
          <w:sz w:val="20"/>
          <w:szCs w:val="20"/>
        </w:rPr>
        <w:lastRenderedPageBreak/>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A41088" w:rsidRDefault="005E13F6">
      <w:pPr>
        <w:pStyle w:val="normal0"/>
        <w:numPr>
          <w:ilvl w:val="1"/>
          <w:numId w:val="3"/>
        </w:numPr>
        <w:pBdr>
          <w:top w:val="nil"/>
          <w:left w:val="nil"/>
          <w:bottom w:val="nil"/>
          <w:right w:val="nil"/>
          <w:between w:val="nil"/>
        </w:pBdr>
        <w:spacing w:before="120" w:after="288" w:line="312" w:lineRule="auto"/>
        <w:ind w:left="709"/>
        <w:jc w:val="both"/>
        <w:rPr>
          <w:rFonts w:ascii="Arial" w:eastAsia="Arial" w:hAnsi="Arial" w:cs="Arial"/>
        </w:rPr>
      </w:pPr>
      <w:r>
        <w:rPr>
          <w:rFonts w:ascii="Arial" w:eastAsia="Arial" w:hAnsi="Arial" w:cs="Arial"/>
          <w:b/>
          <w:color w:val="000000"/>
          <w:sz w:val="20"/>
          <w:szCs w:val="20"/>
        </w:rPr>
        <w:t>Nas aferições finais, o(s) índice(s) utilizado(s) para reajuste será(ão), obrigatoriamente, o(s) definitivo(s).</w:t>
      </w:r>
    </w:p>
    <w:p w:rsidR="00A41088" w:rsidRDefault="005E13F6">
      <w:pPr>
        <w:pStyle w:val="normal0"/>
        <w:numPr>
          <w:ilvl w:val="1"/>
          <w:numId w:val="3"/>
        </w:numPr>
        <w:pBdr>
          <w:top w:val="nil"/>
          <w:left w:val="nil"/>
          <w:bottom w:val="nil"/>
          <w:right w:val="nil"/>
          <w:between w:val="nil"/>
        </w:pBdr>
        <w:spacing w:before="120" w:after="288" w:line="312" w:lineRule="auto"/>
        <w:ind w:left="709"/>
        <w:jc w:val="both"/>
        <w:rPr>
          <w:rFonts w:ascii="Arial" w:eastAsia="Arial" w:hAnsi="Arial" w:cs="Arial"/>
        </w:rPr>
      </w:pPr>
      <w:r>
        <w:rPr>
          <w:rFonts w:ascii="Arial" w:eastAsia="Arial" w:hAnsi="Arial" w:cs="Arial"/>
          <w:b/>
          <w:color w:val="000000"/>
          <w:sz w:val="20"/>
          <w:szCs w:val="20"/>
        </w:rPr>
        <w:t>Caso o(s) índice(s) estabelecido(s) para reajustamento venha(m) a ser extinto(s) ou de qualquer forma não possa(m) mais ser utilizado(s), será(ão) adotado(s), em substituição, o(s) que vier(em) a ser determinado(s) pela legislação então em vigor.</w:t>
      </w:r>
    </w:p>
    <w:p w:rsidR="00A41088" w:rsidRDefault="005E13F6">
      <w:pPr>
        <w:pStyle w:val="normal0"/>
        <w:numPr>
          <w:ilvl w:val="1"/>
          <w:numId w:val="3"/>
        </w:numPr>
        <w:pBdr>
          <w:top w:val="nil"/>
          <w:left w:val="nil"/>
          <w:bottom w:val="nil"/>
          <w:right w:val="nil"/>
          <w:between w:val="nil"/>
        </w:pBdr>
        <w:spacing w:before="120" w:after="288" w:line="312" w:lineRule="auto"/>
        <w:ind w:left="709"/>
        <w:jc w:val="both"/>
        <w:rPr>
          <w:rFonts w:ascii="Arial" w:eastAsia="Arial" w:hAnsi="Arial" w:cs="Arial"/>
        </w:rPr>
      </w:pPr>
      <w:r>
        <w:rPr>
          <w:rFonts w:ascii="Arial" w:eastAsia="Arial" w:hAnsi="Arial" w:cs="Arial"/>
          <w:b/>
          <w:color w:val="000000"/>
          <w:sz w:val="20"/>
          <w:szCs w:val="20"/>
        </w:rPr>
        <w:t xml:space="preserve">Na ausência de previsão legal quanto ao índice substituto, as partes elegerão novo índice oficial, para reajustamento do preço do valor remanescente, por meio de termo aditivo. </w:t>
      </w:r>
    </w:p>
    <w:p w:rsidR="00A41088" w:rsidRDefault="005E13F6">
      <w:pPr>
        <w:pStyle w:val="normal0"/>
        <w:pBdr>
          <w:top w:val="nil"/>
          <w:left w:val="nil"/>
          <w:bottom w:val="nil"/>
          <w:right w:val="nil"/>
          <w:between w:val="nil"/>
        </w:pBdr>
        <w:spacing w:before="120" w:after="288" w:line="312" w:lineRule="auto"/>
        <w:ind w:left="709"/>
        <w:jc w:val="both"/>
        <w:rPr>
          <w:rFonts w:ascii="Arial" w:eastAsia="Arial" w:hAnsi="Arial" w:cs="Arial"/>
          <w:b/>
          <w:color w:val="000000"/>
          <w:sz w:val="20"/>
          <w:szCs w:val="20"/>
        </w:rPr>
      </w:pPr>
      <w:r>
        <w:rPr>
          <w:rFonts w:ascii="Arial" w:eastAsia="Arial" w:hAnsi="Arial" w:cs="Arial"/>
          <w:color w:val="000000"/>
          <w:sz w:val="20"/>
          <w:szCs w:val="20"/>
        </w:rPr>
        <w:t>7.30</w:t>
      </w:r>
      <w:r>
        <w:rPr>
          <w:rFonts w:ascii="Arial" w:eastAsia="Arial" w:hAnsi="Arial" w:cs="Arial"/>
          <w:b/>
          <w:color w:val="000000"/>
          <w:sz w:val="20"/>
          <w:szCs w:val="20"/>
        </w:rPr>
        <w:tab/>
        <w:t>O reajuste será realizado por apostilamento.</w:t>
      </w:r>
    </w:p>
    <w:p w:rsidR="00A41088" w:rsidRDefault="005E13F6">
      <w:pPr>
        <w:pStyle w:val="normal0"/>
        <w:keepNext/>
        <w:keepLines/>
        <w:numPr>
          <w:ilvl w:val="0"/>
          <w:numId w:val="3"/>
        </w:numPr>
        <w:pBdr>
          <w:top w:val="nil"/>
          <w:left w:val="nil"/>
          <w:bottom w:val="nil"/>
          <w:right w:val="nil"/>
          <w:between w:val="nil"/>
        </w:pBdr>
        <w:tabs>
          <w:tab w:val="left" w:pos="567"/>
        </w:tabs>
        <w:spacing w:before="120" w:after="288" w:line="312" w:lineRule="auto"/>
        <w:ind w:left="357" w:hanging="357"/>
        <w:jc w:val="both"/>
      </w:pPr>
      <w:r>
        <w:rPr>
          <w:rFonts w:ascii="Arial" w:eastAsia="Arial" w:hAnsi="Arial" w:cs="Arial"/>
          <w:b/>
          <w:color w:val="000000"/>
          <w:sz w:val="20"/>
          <w:szCs w:val="20"/>
        </w:rPr>
        <w:t>FORMA E CRITÉRIOS DE SELEÇÃO DO FORNECEDOR</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highlight w:val="yellow"/>
        </w:rPr>
      </w:pPr>
      <w:r>
        <w:rPr>
          <w:rFonts w:ascii="Arial" w:eastAsia="Arial" w:hAnsi="Arial" w:cs="Arial"/>
          <w:b/>
          <w:color w:val="000000"/>
          <w:sz w:val="20"/>
          <w:szCs w:val="20"/>
        </w:rPr>
        <w:t>Forma de seleção e critério de julgamento da proposta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fornecedor será selecionado por meio da realização de procedimento de LICITAÇÃO, na modalidade PREGÃO, sob a forma ELETRÔNICA, com adoção do critério de julgamento pelo MENOR PREÇO OU MAIOR DESCONTO.</w:t>
      </w:r>
    </w:p>
    <w:p w:rsidR="00A41088" w:rsidRDefault="005E13F6">
      <w:pPr>
        <w:pStyle w:val="normal0"/>
        <w:pBdr>
          <w:top w:val="nil"/>
          <w:left w:val="nil"/>
          <w:bottom w:val="nil"/>
          <w:right w:val="nil"/>
          <w:between w:val="nil"/>
        </w:pBdr>
        <w:spacing w:before="120" w:after="288" w:line="312" w:lineRule="auto"/>
        <w:jc w:val="both"/>
        <w:rPr>
          <w:rFonts w:ascii="Arial" w:eastAsia="Arial" w:hAnsi="Arial" w:cs="Arial"/>
          <w:b/>
          <w:color w:val="000000"/>
          <w:sz w:val="20"/>
          <w:szCs w:val="20"/>
        </w:rPr>
      </w:pPr>
      <w:r>
        <w:rPr>
          <w:rFonts w:ascii="Arial" w:eastAsia="Arial" w:hAnsi="Arial" w:cs="Arial"/>
          <w:b/>
          <w:color w:val="000000"/>
          <w:sz w:val="20"/>
          <w:szCs w:val="20"/>
          <w:highlight w:val="yellow"/>
        </w:rPr>
        <w:t>OBS.: Em caso de INEXIGIBILIDADE OU DISPENSA, indicar expressamente a base legal – Artigos 74 E 75 DA LEI 14.133/2021– INDICAR TAMBÉM OS INCISOS</w:t>
      </w:r>
      <w:r>
        <w:rPr>
          <w:rFonts w:ascii="Arial" w:eastAsia="Arial" w:hAnsi="Arial" w:cs="Arial"/>
          <w:b/>
          <w:color w:val="000000"/>
          <w:sz w:val="20"/>
          <w:szCs w:val="20"/>
        </w:rPr>
        <w:t>.</w:t>
      </w:r>
    </w:p>
    <w:p w:rsidR="00A41088" w:rsidRDefault="005E13F6">
      <w:pPr>
        <w:pStyle w:val="normal0"/>
        <w:keepNext/>
        <w:keepLines/>
        <w:pBdr>
          <w:top w:val="nil"/>
          <w:left w:val="nil"/>
          <w:bottom w:val="nil"/>
          <w:right w:val="nil"/>
          <w:between w:val="nil"/>
        </w:pBdr>
        <w:tabs>
          <w:tab w:val="left" w:pos="567"/>
        </w:tabs>
        <w:spacing w:before="120" w:after="288" w:line="312" w:lineRule="auto"/>
        <w:ind w:left="357" w:hanging="357"/>
        <w:jc w:val="both"/>
        <w:rPr>
          <w:rFonts w:ascii="Arial" w:eastAsia="Arial" w:hAnsi="Arial" w:cs="Arial"/>
          <w:b/>
          <w:color w:val="000000"/>
          <w:sz w:val="20"/>
          <w:szCs w:val="20"/>
        </w:rPr>
      </w:pPr>
      <w:r>
        <w:rPr>
          <w:rFonts w:ascii="Arial" w:eastAsia="Arial" w:hAnsi="Arial" w:cs="Arial"/>
          <w:b/>
          <w:color w:val="000000"/>
          <w:sz w:val="20"/>
          <w:szCs w:val="20"/>
        </w:rPr>
        <w:t>Exigências de habilitação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Para fins de habilitação, deverá o licitante comprovar os seguintes requisitos:</w:t>
      </w:r>
    </w:p>
    <w:p w:rsidR="00A41088" w:rsidRDefault="005E13F6">
      <w:pPr>
        <w:pStyle w:val="normal0"/>
        <w:keepNext/>
        <w:keepLines/>
        <w:numPr>
          <w:ilvl w:val="0"/>
          <w:numId w:val="3"/>
        </w:numPr>
        <w:pBdr>
          <w:top w:val="nil"/>
          <w:left w:val="nil"/>
          <w:bottom w:val="nil"/>
          <w:right w:val="nil"/>
          <w:between w:val="nil"/>
        </w:pBdr>
        <w:tabs>
          <w:tab w:val="left" w:pos="567"/>
        </w:tabs>
        <w:spacing w:before="240"/>
        <w:jc w:val="both"/>
        <w:rPr>
          <w:rFonts w:ascii="Arial" w:eastAsia="Arial" w:hAnsi="Arial" w:cs="Arial"/>
          <w:color w:val="000000"/>
          <w:sz w:val="20"/>
          <w:szCs w:val="20"/>
        </w:rPr>
      </w:pPr>
      <w:r>
        <w:rPr>
          <w:rFonts w:ascii="Arial" w:eastAsia="Arial" w:hAnsi="Arial" w:cs="Arial"/>
          <w:b/>
          <w:color w:val="000000"/>
          <w:sz w:val="20"/>
          <w:szCs w:val="20"/>
        </w:rPr>
        <w:t>Habilitação jurídica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bookmarkStart w:id="1" w:name="_30j0zll" w:colFirst="0" w:colLast="0"/>
      <w:bookmarkEnd w:id="1"/>
      <w:r>
        <w:rPr>
          <w:rFonts w:ascii="Arial" w:eastAsia="Arial" w:hAnsi="Arial" w:cs="Arial"/>
          <w:b/>
          <w:color w:val="000000"/>
          <w:sz w:val="20"/>
          <w:szCs w:val="20"/>
        </w:rPr>
        <w:t>Pessoa física:</w:t>
      </w:r>
      <w:r>
        <w:rPr>
          <w:rFonts w:ascii="Arial" w:eastAsia="Arial" w:hAnsi="Arial" w:cs="Arial"/>
          <w:color w:val="000000"/>
          <w:sz w:val="20"/>
          <w:szCs w:val="20"/>
        </w:rPr>
        <w:t xml:space="preserve"> cédula de identidade (RG) ou documento equivalente que, por força de lei, tenha validade para fins de identificação em todo o território nacional;</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t>Empresário individual:</w:t>
      </w:r>
      <w:r>
        <w:rPr>
          <w:rFonts w:ascii="Arial" w:eastAsia="Arial" w:hAnsi="Arial" w:cs="Arial"/>
          <w:color w:val="000000"/>
          <w:sz w:val="20"/>
          <w:szCs w:val="20"/>
        </w:rPr>
        <w:t xml:space="preserve"> inscrição no Registro Público de Empresas Mercantis, a cargo da Junta Comercial da respectiva sede;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t>Microempreendedor Individual - MEI:</w:t>
      </w:r>
      <w:r>
        <w:rPr>
          <w:rFonts w:ascii="Arial" w:eastAsia="Arial" w:hAnsi="Arial" w:cs="Arial"/>
          <w:color w:val="000000"/>
          <w:sz w:val="20"/>
          <w:szCs w:val="20"/>
        </w:rPr>
        <w:t xml:space="preserve"> Certificado da Condição de Microempreendedor Individual - CCMEI, cuja aceitação ficará condicionada à verificação da autenticidade no sítio </w:t>
      </w:r>
      <w:hyperlink r:id="rId30">
        <w:r>
          <w:rPr>
            <w:rFonts w:ascii="Arial" w:eastAsia="Arial" w:hAnsi="Arial" w:cs="Arial"/>
            <w:color w:val="000080"/>
            <w:sz w:val="20"/>
            <w:szCs w:val="20"/>
            <w:u w:val="single"/>
          </w:rPr>
          <w:t>https://www.gov.br/empresas-e-negocios/pt-br/empreendedor</w:t>
        </w:r>
      </w:hyperlink>
      <w:r>
        <w:rPr>
          <w:rFonts w:ascii="Arial" w:eastAsia="Arial" w:hAnsi="Arial" w:cs="Arial"/>
          <w:color w:val="000000"/>
          <w:sz w:val="20"/>
          <w:szCs w:val="20"/>
        </w:rPr>
        <w:t xml:space="preserve">;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lastRenderedPageBreak/>
        <w:t>Sociedade empresária, sociedade limitada unipessoal – SLU ou sociedade identificada como empresa individual de responsabilidade limitada - EIRELI:</w:t>
      </w:r>
      <w:r>
        <w:rPr>
          <w:rFonts w:ascii="Arial" w:eastAsia="Arial" w:hAnsi="Arial" w:cs="Arial"/>
          <w:color w:val="000000"/>
          <w:sz w:val="20"/>
          <w:szCs w:val="20"/>
        </w:rPr>
        <w:t xml:space="preserve"> inscrição do ato constitutivo, estatuto ou contrato social no Registro Público de Empresas Mercantis, a cargo da Junta Comercial da respectiva sede, acompanhada de documento comprobatório de seus administradores;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t>Sociedade empresária estrangeira:</w:t>
      </w:r>
      <w:r>
        <w:rPr>
          <w:rFonts w:ascii="Arial" w:eastAsia="Arial" w:hAnsi="Arial" w:cs="Arial"/>
          <w:color w:val="000000"/>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1">
        <w:r>
          <w:rPr>
            <w:rFonts w:ascii="Arial" w:eastAsia="Arial" w:hAnsi="Arial" w:cs="Arial"/>
            <w:color w:val="000080"/>
            <w:sz w:val="20"/>
            <w:szCs w:val="20"/>
            <w:u w:val="single"/>
          </w:rPr>
          <w:t>Normativa DREI/ME n.º 77, de 18 de março de 2020</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t xml:space="preserve">Sociedade simples: </w:t>
      </w:r>
      <w:r>
        <w:rPr>
          <w:rFonts w:ascii="Arial" w:eastAsia="Arial" w:hAnsi="Arial" w:cs="Arial"/>
          <w:color w:val="000000"/>
          <w:sz w:val="20"/>
          <w:szCs w:val="20"/>
        </w:rPr>
        <w:t>inscrição do ato constitutivo no Registro Civil de Pessoas Jurídicas do local de sua sede, acompanhada de documento comprobatório de seus administradores;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bookmarkStart w:id="2" w:name="_1fob9te" w:colFirst="0" w:colLast="0"/>
      <w:bookmarkEnd w:id="2"/>
      <w:r>
        <w:rPr>
          <w:rFonts w:ascii="Arial" w:eastAsia="Arial" w:hAnsi="Arial" w:cs="Arial"/>
          <w:b/>
          <w:color w:val="000000"/>
          <w:sz w:val="20"/>
          <w:szCs w:val="20"/>
        </w:rPr>
        <w:t>Filial, sucursal ou agência de sociedade simples ou empresária:</w:t>
      </w:r>
      <w:r>
        <w:rPr>
          <w:rFonts w:ascii="Arial" w:eastAsia="Arial" w:hAnsi="Arial" w:cs="Arial"/>
          <w:color w:val="000000"/>
          <w:sz w:val="20"/>
          <w:szCs w:val="2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t>Sociedade cooperativa:</w:t>
      </w:r>
      <w:r>
        <w:rPr>
          <w:rFonts w:ascii="Arial" w:eastAsia="Arial" w:hAnsi="Arial" w:cs="Arial"/>
          <w:color w:val="000000"/>
          <w:sz w:val="20"/>
          <w:szCs w:val="20"/>
        </w:rPr>
        <w:t xml:space="preserve"> ata de fundação e estatuto social, com a ata da assembleia que o aprovou, devidamente arquivado na Junta Comercial ou inscrito no Registro Civil das Pessoas Jurídicas da respectiva sede, além do registro de que trata o </w:t>
      </w:r>
      <w:hyperlink r:id="rId32" w:anchor="art107">
        <w:r>
          <w:rPr>
            <w:rFonts w:ascii="Arial" w:eastAsia="Arial" w:hAnsi="Arial" w:cs="Arial"/>
            <w:color w:val="000080"/>
            <w:sz w:val="20"/>
            <w:szCs w:val="20"/>
            <w:u w:val="single"/>
          </w:rPr>
          <w:t>art. 107 da Lei nº 5.764, de 16 de dezembro 1971</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t>Agricultor familiar:</w:t>
      </w:r>
      <w:r>
        <w:rPr>
          <w:rFonts w:ascii="Arial" w:eastAsia="Arial" w:hAnsi="Arial" w:cs="Arial"/>
          <w:color w:val="000000"/>
          <w:sz w:val="20"/>
          <w:szCs w:val="20"/>
        </w:rPr>
        <w:t xml:space="preserve"> Declaração de Aptidão ao Pronaf – DAP ou DAP-P válida, ou, ainda, outros documentos definidos pela Secretaria Especial de Agricultura Familiar e do Desenvolvimento Agrário, nos termos do</w:t>
      </w:r>
      <w:hyperlink r:id="rId33" w:anchor="art4%C2%A72">
        <w:r>
          <w:rPr>
            <w:rFonts w:ascii="Arial" w:eastAsia="Arial" w:hAnsi="Arial" w:cs="Arial"/>
            <w:color w:val="000080"/>
            <w:sz w:val="20"/>
            <w:szCs w:val="20"/>
            <w:u w:val="single"/>
          </w:rPr>
          <w:t xml:space="preserve"> art. 4º, §2º do Decreto nº 10.880, de 2 de dezembro de 2021</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b/>
          <w:color w:val="000000"/>
          <w:sz w:val="20"/>
          <w:szCs w:val="20"/>
        </w:rPr>
        <w:t>Produtor Rural:</w:t>
      </w:r>
      <w:r>
        <w:rPr>
          <w:rFonts w:ascii="Arial" w:eastAsia="Arial" w:hAnsi="Arial" w:cs="Arial"/>
          <w:color w:val="000000"/>
          <w:sz w:val="20"/>
          <w:szCs w:val="20"/>
        </w:rPr>
        <w:t xml:space="preserve"> matrícula no Cadastro Específico do INSS – CEI, que comprove a qualificação como produtor rural pessoa física, nos termos da </w:t>
      </w:r>
      <w:hyperlink r:id="rId34">
        <w:r>
          <w:rPr>
            <w:rFonts w:ascii="Arial" w:eastAsia="Arial" w:hAnsi="Arial" w:cs="Arial"/>
            <w:color w:val="000080"/>
            <w:sz w:val="20"/>
            <w:szCs w:val="20"/>
            <w:u w:val="single"/>
          </w:rPr>
          <w:t>Instrução Normativa RFB n. 971, de 13 de novembro de 2009</w:t>
        </w:r>
      </w:hyperlink>
      <w:r>
        <w:rPr>
          <w:rFonts w:ascii="Arial" w:eastAsia="Arial" w:hAnsi="Arial" w:cs="Arial"/>
          <w:color w:val="000000"/>
          <w:sz w:val="20"/>
          <w:szCs w:val="20"/>
        </w:rPr>
        <w:t xml:space="preserve"> (arts. 17 a 19 e 165).</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Os documentos apresentados deverão estar acompanhados de todas as alterações ou da consolidação respectiva.</w:t>
      </w:r>
    </w:p>
    <w:p w:rsidR="00A41088" w:rsidRDefault="005E13F6">
      <w:pPr>
        <w:pStyle w:val="normal0"/>
        <w:keepNext/>
        <w:keepLines/>
        <w:numPr>
          <w:ilvl w:val="0"/>
          <w:numId w:val="3"/>
        </w:numPr>
        <w:pBdr>
          <w:top w:val="nil"/>
          <w:left w:val="nil"/>
          <w:bottom w:val="nil"/>
          <w:right w:val="nil"/>
          <w:between w:val="nil"/>
        </w:pBdr>
        <w:tabs>
          <w:tab w:val="left" w:pos="567"/>
        </w:tabs>
        <w:spacing w:before="240"/>
        <w:jc w:val="both"/>
        <w:rPr>
          <w:rFonts w:ascii="Arial" w:eastAsia="Arial" w:hAnsi="Arial" w:cs="Arial"/>
          <w:color w:val="000000"/>
          <w:sz w:val="20"/>
          <w:szCs w:val="20"/>
        </w:rPr>
      </w:pPr>
      <w:r>
        <w:rPr>
          <w:rFonts w:ascii="Arial" w:eastAsia="Arial" w:hAnsi="Arial" w:cs="Arial"/>
          <w:b/>
          <w:color w:val="000000"/>
          <w:sz w:val="20"/>
          <w:szCs w:val="20"/>
        </w:rPr>
        <w:t>Habilitação fiscal, social e trabalhista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Prova de inscrição no Cadastro Nacional de Pessoas Jurídicas ou no Cadastro de Pessoas Físicas, conforme o caso;</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Prova de regularidade com o Fundo de Garantia do Tempo de Serviço (FGTS);</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 xml:space="preserve">Prova de inscrição no cadastro de contribuintes </w:t>
      </w:r>
      <w:r>
        <w:rPr>
          <w:rFonts w:ascii="Arial" w:eastAsia="Arial" w:hAnsi="Arial" w:cs="Arial"/>
          <w:i/>
          <w:color w:val="000000"/>
          <w:sz w:val="20"/>
          <w:szCs w:val="20"/>
        </w:rPr>
        <w:t>Estadual/Distrital</w:t>
      </w:r>
      <w:r>
        <w:rPr>
          <w:rFonts w:ascii="Arial" w:eastAsia="Arial" w:hAnsi="Arial" w:cs="Arial"/>
          <w:color w:val="000000"/>
          <w:sz w:val="20"/>
          <w:szCs w:val="20"/>
        </w:rPr>
        <w:t xml:space="preserve"> e </w:t>
      </w:r>
      <w:r>
        <w:rPr>
          <w:rFonts w:ascii="Arial" w:eastAsia="Arial" w:hAnsi="Arial" w:cs="Arial"/>
          <w:i/>
          <w:color w:val="000000"/>
          <w:sz w:val="20"/>
          <w:szCs w:val="20"/>
        </w:rPr>
        <w:t>Municipal</w:t>
      </w:r>
      <w:r>
        <w:rPr>
          <w:rFonts w:ascii="Arial" w:eastAsia="Arial" w:hAnsi="Arial" w:cs="Arial"/>
          <w:color w:val="FF0000"/>
          <w:sz w:val="20"/>
          <w:szCs w:val="20"/>
        </w:rPr>
        <w:t xml:space="preserve"> </w:t>
      </w:r>
      <w:r>
        <w:rPr>
          <w:rFonts w:ascii="Arial" w:eastAsia="Arial" w:hAnsi="Arial" w:cs="Arial"/>
          <w:color w:val="000000"/>
          <w:sz w:val="20"/>
          <w:szCs w:val="20"/>
        </w:rPr>
        <w:t xml:space="preserve">relativo ao domicílio ou sede do fornecedor, pertinente ao seu ramo de atividade e compatível com o objeto contratual;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 xml:space="preserve">Prova de regularidade com a Fazenda </w:t>
      </w:r>
      <w:r>
        <w:rPr>
          <w:rFonts w:ascii="Arial" w:eastAsia="Arial" w:hAnsi="Arial" w:cs="Arial"/>
          <w:i/>
          <w:color w:val="000000"/>
          <w:sz w:val="20"/>
          <w:szCs w:val="20"/>
        </w:rPr>
        <w:t>Estadual/Distrital e Municipal</w:t>
      </w:r>
      <w:r>
        <w:rPr>
          <w:rFonts w:ascii="Arial" w:eastAsia="Arial" w:hAnsi="Arial" w:cs="Arial"/>
          <w:color w:val="FF0000"/>
          <w:sz w:val="20"/>
          <w:szCs w:val="20"/>
        </w:rPr>
        <w:t xml:space="preserve"> </w:t>
      </w:r>
      <w:r>
        <w:rPr>
          <w:rFonts w:ascii="Arial" w:eastAsia="Arial" w:hAnsi="Arial" w:cs="Arial"/>
          <w:color w:val="000000"/>
          <w:sz w:val="20"/>
          <w:szCs w:val="20"/>
        </w:rPr>
        <w:t>do domicílio ou sede do fornecedor, relativa à atividade em cujo exercício contrata ou concorre;</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 xml:space="preserve">Caso o fornecedor seja considerado isento dos tributos </w:t>
      </w:r>
      <w:r>
        <w:rPr>
          <w:rFonts w:ascii="Arial" w:eastAsia="Arial" w:hAnsi="Arial" w:cs="Arial"/>
          <w:i/>
          <w:color w:val="000000"/>
          <w:sz w:val="20"/>
          <w:szCs w:val="20"/>
        </w:rPr>
        <w:t>Estadual/Distrital ou Municipal</w:t>
      </w:r>
      <w:r>
        <w:rPr>
          <w:rFonts w:ascii="Arial" w:eastAsia="Arial" w:hAnsi="Arial" w:cs="Arial"/>
          <w:color w:val="FF0000"/>
          <w:sz w:val="20"/>
          <w:szCs w:val="20"/>
        </w:rPr>
        <w:t xml:space="preserve"> </w:t>
      </w:r>
      <w:r>
        <w:rPr>
          <w:rFonts w:ascii="Arial" w:eastAsia="Arial" w:hAnsi="Arial" w:cs="Arial"/>
          <w:color w:val="000000"/>
          <w:sz w:val="20"/>
          <w:szCs w:val="20"/>
        </w:rPr>
        <w:t>relacionados ao objeto contratual, deverá comprovar tal condição mediante a apresentação de declaração da Fazenda respectiva do seu domicílio ou sede, ou outra equivalente, na forma da lei.</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A41088" w:rsidRDefault="005E13F6">
      <w:pPr>
        <w:pStyle w:val="normal0"/>
        <w:keepNext/>
        <w:keepLines/>
        <w:numPr>
          <w:ilvl w:val="0"/>
          <w:numId w:val="3"/>
        </w:numPr>
        <w:pBdr>
          <w:top w:val="nil"/>
          <w:left w:val="nil"/>
          <w:bottom w:val="nil"/>
          <w:right w:val="nil"/>
          <w:between w:val="nil"/>
        </w:pBdr>
        <w:tabs>
          <w:tab w:val="left" w:pos="567"/>
        </w:tabs>
        <w:spacing w:before="240"/>
        <w:jc w:val="both"/>
        <w:rPr>
          <w:rFonts w:ascii="Arial" w:eastAsia="Arial" w:hAnsi="Arial" w:cs="Arial"/>
          <w:color w:val="000000"/>
          <w:sz w:val="20"/>
          <w:szCs w:val="20"/>
        </w:rPr>
      </w:pPr>
      <w:r>
        <w:rPr>
          <w:rFonts w:ascii="Arial" w:eastAsia="Arial" w:hAnsi="Arial" w:cs="Arial"/>
          <w:b/>
          <w:color w:val="000000"/>
          <w:sz w:val="20"/>
          <w:szCs w:val="20"/>
        </w:rPr>
        <w:t>Qualificação Econômico-Financeira</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Certidão negativa de insolvência civil expedida pelo distribuidor do domicílio ou sede do licitante, caso se trate de pessoa física, desde que admitida a sua participação na licitação (</w:t>
      </w:r>
      <w:hyperlink r:id="rId35" w:anchor="art5">
        <w:r>
          <w:rPr>
            <w:rFonts w:ascii="Arial" w:eastAsia="Arial" w:hAnsi="Arial" w:cs="Arial"/>
            <w:color w:val="000080"/>
            <w:sz w:val="20"/>
            <w:szCs w:val="20"/>
            <w:u w:val="single"/>
          </w:rPr>
          <w:t>art. 5º, inciso II, alínea “c”, da Instrução Normativa Seges/ME nº 116, de 2021</w:t>
        </w:r>
      </w:hyperlink>
      <w:r>
        <w:rPr>
          <w:rFonts w:ascii="Arial" w:eastAsia="Arial" w:hAnsi="Arial" w:cs="Arial"/>
          <w:color w:val="000000"/>
          <w:sz w:val="20"/>
          <w:szCs w:val="20"/>
        </w:rPr>
        <w:t xml:space="preserve">), ou de sociedade simples; </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 xml:space="preserve">Certidão negativa de falência expedida pelo distribuidor da sede do fornecedor - </w:t>
      </w:r>
      <w:hyperlink r:id="rId36" w:anchor="art69">
        <w:r>
          <w:rPr>
            <w:rFonts w:ascii="Arial" w:eastAsia="Arial" w:hAnsi="Arial" w:cs="Arial"/>
            <w:color w:val="000080"/>
            <w:sz w:val="20"/>
            <w:szCs w:val="20"/>
            <w:u w:val="single"/>
          </w:rPr>
          <w:t>Lei nº 14.133, de 2021, art. 69, caput, inciso II</w:t>
        </w:r>
      </w:hyperlink>
      <w:r>
        <w:rPr>
          <w:rFonts w:ascii="Arial" w:eastAsia="Arial" w:hAnsi="Arial" w:cs="Arial"/>
          <w:color w:val="000000"/>
          <w:sz w:val="20"/>
          <w:szCs w:val="20"/>
        </w:rPr>
        <w:t>);</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 xml:space="preserve">Índices de Liquidez Geral (LG), Solvência Geral (SG) e Liquidez Corrente (LC), superiores a 1 (um), comprovados mediante a apresentação pelo licitante de balanço </w:t>
      </w:r>
      <w:r>
        <w:rPr>
          <w:rFonts w:ascii="Arial" w:eastAsia="Arial" w:hAnsi="Arial" w:cs="Arial"/>
          <w:color w:val="000000"/>
          <w:sz w:val="20"/>
          <w:szCs w:val="20"/>
        </w:rPr>
        <w:lastRenderedPageBreak/>
        <w:t>patrimonial, demonstração de resultado de exercício e demais demonstrações contábeis dos 2 (dois) últimos exercícios sociais e obtidos pela aplicação das seguintes fórmulas:</w:t>
      </w:r>
    </w:p>
    <w:p w:rsidR="00A41088" w:rsidRDefault="005E13F6">
      <w:pPr>
        <w:pStyle w:val="normal0"/>
        <w:pBdr>
          <w:top w:val="nil"/>
          <w:left w:val="nil"/>
          <w:bottom w:val="nil"/>
          <w:right w:val="nil"/>
          <w:between w:val="nil"/>
        </w:pBdr>
        <w:spacing w:before="120" w:after="288" w:line="312" w:lineRule="auto"/>
        <w:ind w:left="900"/>
        <w:jc w:val="both"/>
        <w:rPr>
          <w:rFonts w:ascii="Arial" w:eastAsia="Arial" w:hAnsi="Arial" w:cs="Arial"/>
          <w:color w:val="000000"/>
          <w:sz w:val="20"/>
          <w:szCs w:val="20"/>
        </w:rPr>
      </w:pPr>
      <w:r>
        <w:rPr>
          <w:rFonts w:ascii="Arial" w:eastAsia="Arial" w:hAnsi="Arial" w:cs="Arial"/>
          <w:color w:val="000000"/>
          <w:sz w:val="20"/>
          <w:szCs w:val="20"/>
        </w:rPr>
        <w:t>I - Liquidez Geral (LG) = (Ativo Circulante + Realizável a Longo Prazo )/( Passivo Circulante + Passivo Não Circulante);</w:t>
      </w:r>
    </w:p>
    <w:p w:rsidR="00A41088" w:rsidRDefault="005E13F6">
      <w:pPr>
        <w:pStyle w:val="normal0"/>
        <w:pBdr>
          <w:top w:val="nil"/>
          <w:left w:val="nil"/>
          <w:bottom w:val="nil"/>
          <w:right w:val="nil"/>
          <w:between w:val="nil"/>
        </w:pBdr>
        <w:spacing w:before="120" w:after="288" w:line="312" w:lineRule="auto"/>
        <w:ind w:left="900"/>
        <w:jc w:val="both"/>
        <w:rPr>
          <w:rFonts w:ascii="Arial" w:eastAsia="Arial" w:hAnsi="Arial" w:cs="Arial"/>
          <w:color w:val="000000"/>
          <w:sz w:val="20"/>
          <w:szCs w:val="20"/>
        </w:rPr>
      </w:pPr>
      <w:r>
        <w:rPr>
          <w:rFonts w:ascii="Arial" w:eastAsia="Arial" w:hAnsi="Arial" w:cs="Arial"/>
          <w:color w:val="000000"/>
          <w:sz w:val="20"/>
          <w:szCs w:val="20"/>
        </w:rPr>
        <w:t>II - Solvência Geral (SG)= (Ativo Total)/(Passivo Circulante +Passivo não Circulante); e</w:t>
      </w:r>
    </w:p>
    <w:p w:rsidR="00A41088" w:rsidRDefault="005E13F6">
      <w:pPr>
        <w:pStyle w:val="normal0"/>
        <w:pBdr>
          <w:top w:val="nil"/>
          <w:left w:val="nil"/>
          <w:bottom w:val="nil"/>
          <w:right w:val="nil"/>
          <w:between w:val="nil"/>
        </w:pBdr>
        <w:spacing w:before="120" w:after="288" w:line="312" w:lineRule="auto"/>
        <w:ind w:left="900"/>
        <w:jc w:val="both"/>
        <w:rPr>
          <w:rFonts w:ascii="Arial" w:eastAsia="Arial" w:hAnsi="Arial" w:cs="Arial"/>
          <w:color w:val="000000"/>
          <w:sz w:val="20"/>
          <w:szCs w:val="20"/>
        </w:rPr>
      </w:pPr>
      <w:r>
        <w:rPr>
          <w:rFonts w:ascii="Arial" w:eastAsia="Arial" w:hAnsi="Arial" w:cs="Arial"/>
          <w:color w:val="000000"/>
          <w:sz w:val="20"/>
          <w:szCs w:val="20"/>
        </w:rPr>
        <w:t>III - Liquidez Corrente (LC) = (Ativo Circulante)/(Passivo Circulante).</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 xml:space="preserve">Caso a empresa licitante apresente resultado inferior ou igual a 1 (um) em qualquer dos índices de Liquidez Geral (LG), Solvência Geral (SG) e Liquidez Corrente (LC), será exigido para fins de habilitação capital mínimo </w:t>
      </w:r>
      <w:r>
        <w:rPr>
          <w:rFonts w:ascii="Arial" w:eastAsia="Arial" w:hAnsi="Arial" w:cs="Arial"/>
          <w:color w:val="000000"/>
          <w:sz w:val="20"/>
          <w:szCs w:val="20"/>
          <w:u w:val="single"/>
        </w:rPr>
        <w:t>OU</w:t>
      </w:r>
      <w:r>
        <w:rPr>
          <w:rFonts w:ascii="Arial" w:eastAsia="Arial" w:hAnsi="Arial" w:cs="Arial"/>
          <w:color w:val="000000"/>
          <w:sz w:val="20"/>
          <w:szCs w:val="20"/>
        </w:rPr>
        <w:t xml:space="preserve"> patrimônio líquido mínimo de 10% (dez por cento) do valor total estimado da contratação] </w:t>
      </w:r>
      <w:r>
        <w:rPr>
          <w:rFonts w:ascii="Arial" w:eastAsia="Arial" w:hAnsi="Arial" w:cs="Arial"/>
          <w:color w:val="000000"/>
          <w:sz w:val="20"/>
          <w:szCs w:val="20"/>
          <w:u w:val="single"/>
        </w:rPr>
        <w:t>OU</w:t>
      </w:r>
      <w:r>
        <w:rPr>
          <w:rFonts w:ascii="Arial" w:eastAsia="Arial" w:hAnsi="Arial" w:cs="Arial"/>
          <w:color w:val="000000"/>
          <w:sz w:val="20"/>
          <w:szCs w:val="20"/>
        </w:rPr>
        <w:t xml:space="preserve"> [valor total estimado da parcela pertinente].</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pPr>
      <w:r>
        <w:rPr>
          <w:rFonts w:ascii="Arial" w:eastAsia="Arial" w:hAnsi="Arial" w:cs="Arial"/>
          <w:color w:val="000000"/>
          <w:sz w:val="20"/>
          <w:szCs w:val="20"/>
        </w:rPr>
        <w:t>As empresas criadas no exercício financeiro da licitação deverão atender a todas as exigências da habilitação e poderão substituir os demonstrativos contábeis pelo balanço de abertura. (Lei nº 14.133, de 2021, art. 65, §1º).</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color w:val="000000"/>
          <w:sz w:val="20"/>
          <w:szCs w:val="20"/>
        </w:rPr>
        <w:t>O balanço patrimonial, demonstração de resultado de exercício e demais demonstrações contábeis limitar-se-ão ao último exercício no caso de a pessoa jurídica ter sido constituída há menos de 2 (dois) anos. (Lei nº 14.133, de 2021, art. 69, §6º)</w:t>
      </w:r>
    </w:p>
    <w:p w:rsidR="00A41088" w:rsidRDefault="005E13F6">
      <w:pPr>
        <w:pStyle w:val="normal0"/>
        <w:numPr>
          <w:ilvl w:val="1"/>
          <w:numId w:val="3"/>
        </w:numPr>
        <w:pBdr>
          <w:top w:val="nil"/>
          <w:left w:val="nil"/>
          <w:bottom w:val="nil"/>
          <w:right w:val="nil"/>
          <w:between w:val="nil"/>
        </w:pBdr>
        <w:spacing w:before="120" w:after="288" w:line="312" w:lineRule="auto"/>
        <w:ind w:firstLine="709"/>
        <w:jc w:val="both"/>
        <w:rPr>
          <w:rFonts w:ascii="Arial" w:eastAsia="Arial" w:hAnsi="Arial" w:cs="Arial"/>
        </w:rPr>
      </w:pPr>
      <w:r>
        <w:rPr>
          <w:rFonts w:ascii="Arial" w:eastAsia="Arial" w:hAnsi="Arial" w:cs="Arial"/>
          <w:i/>
          <w:color w:val="000000"/>
          <w:sz w:val="20"/>
          <w:szCs w:val="20"/>
        </w:rPr>
        <w:t>O atendimento dos índices econômicos previstos neste item deverá ser atestado mediante declaração assinada por profissional habilitado da área contábil, apresentada pelo fornecedor.</w:t>
      </w:r>
    </w:p>
    <w:p w:rsidR="00A41088" w:rsidRDefault="005E13F6">
      <w:pPr>
        <w:pStyle w:val="normal0"/>
        <w:keepNext/>
        <w:keepLines/>
        <w:numPr>
          <w:ilvl w:val="0"/>
          <w:numId w:val="3"/>
        </w:numPr>
        <w:pBdr>
          <w:top w:val="nil"/>
          <w:left w:val="nil"/>
          <w:bottom w:val="nil"/>
          <w:right w:val="nil"/>
          <w:between w:val="nil"/>
        </w:pBdr>
        <w:tabs>
          <w:tab w:val="left" w:pos="567"/>
        </w:tabs>
        <w:spacing w:before="240"/>
        <w:jc w:val="both"/>
        <w:rPr>
          <w:rFonts w:ascii="Arial" w:eastAsia="Arial" w:hAnsi="Arial" w:cs="Arial"/>
          <w:color w:val="000000"/>
          <w:sz w:val="20"/>
          <w:szCs w:val="20"/>
        </w:rPr>
      </w:pPr>
      <w:r>
        <w:rPr>
          <w:rFonts w:ascii="Arial" w:eastAsia="Arial" w:hAnsi="Arial" w:cs="Arial"/>
          <w:b/>
          <w:color w:val="000000"/>
          <w:sz w:val="20"/>
          <w:szCs w:val="20"/>
        </w:rPr>
        <w:t>Qualificação Técnica</w:t>
      </w:r>
    </w:p>
    <w:p w:rsidR="00A41088" w:rsidRDefault="005E13F6">
      <w:pPr>
        <w:pStyle w:val="normal0"/>
        <w:rPr>
          <w:rFonts w:ascii="Arial" w:eastAsia="Arial" w:hAnsi="Arial" w:cs="Arial"/>
          <w:sz w:val="20"/>
          <w:szCs w:val="20"/>
        </w:rPr>
      </w:pPr>
      <w:r>
        <w:rPr>
          <w:rFonts w:ascii="Arial" w:eastAsia="Arial" w:hAnsi="Arial" w:cs="Arial"/>
          <w:sz w:val="20"/>
          <w:szCs w:val="20"/>
        </w:rPr>
        <w:t>12.1 QUALIFICAÇÃO TÉCNICO-OPERACIONAL</w:t>
      </w:r>
    </w:p>
    <w:p w:rsidR="00A41088" w:rsidRDefault="005E13F6">
      <w:pPr>
        <w:pStyle w:val="normal0"/>
        <w:numPr>
          <w:ilvl w:val="2"/>
          <w:numId w:val="3"/>
        </w:numPr>
        <w:pBdr>
          <w:top w:val="nil"/>
          <w:left w:val="nil"/>
          <w:bottom w:val="nil"/>
          <w:right w:val="nil"/>
          <w:between w:val="nil"/>
        </w:pBdr>
        <w:spacing w:before="120" w:after="120" w:line="276" w:lineRule="auto"/>
        <w:jc w:val="both"/>
      </w:pPr>
      <w:r>
        <w:rPr>
          <w:rFonts w:ascii="Arial" w:eastAsia="Arial" w:hAnsi="Arial" w:cs="Arial"/>
          <w:color w:val="000000"/>
          <w:sz w:val="20"/>
          <w:szCs w:val="20"/>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 xml:space="preserve">Para fins da comprovação de que trata este subitem, os atestados deverão dizer respeito a contratos executados com as seguintes características mínimas: </w:t>
      </w:r>
    </w:p>
    <w:p w:rsidR="00A41088" w:rsidRDefault="005E13F6">
      <w:pPr>
        <w:pStyle w:val="normal0"/>
        <w:numPr>
          <w:ilvl w:val="3"/>
          <w:numId w:val="3"/>
        </w:numPr>
        <w:pBdr>
          <w:top w:val="nil"/>
          <w:left w:val="nil"/>
          <w:bottom w:val="nil"/>
          <w:right w:val="nil"/>
          <w:between w:val="nil"/>
        </w:pBdr>
        <w:spacing w:before="120" w:after="288" w:line="312" w:lineRule="auto"/>
        <w:ind w:left="851" w:firstLine="0"/>
        <w:jc w:val="both"/>
        <w:rPr>
          <w:rFonts w:ascii="Arial" w:eastAsia="Arial" w:hAnsi="Arial" w:cs="Arial"/>
          <w:i/>
          <w:color w:val="000000"/>
          <w:sz w:val="20"/>
          <w:szCs w:val="20"/>
        </w:rPr>
      </w:pPr>
      <w:r>
        <w:rPr>
          <w:rFonts w:ascii="Arial" w:eastAsia="Arial" w:hAnsi="Arial" w:cs="Arial"/>
          <w:i/>
          <w:color w:val="000000"/>
          <w:sz w:val="20"/>
          <w:szCs w:val="20"/>
        </w:rPr>
        <w:t>....</w:t>
      </w:r>
    </w:p>
    <w:p w:rsidR="00A41088" w:rsidRDefault="005E13F6">
      <w:pPr>
        <w:pStyle w:val="normal0"/>
        <w:numPr>
          <w:ilvl w:val="3"/>
          <w:numId w:val="3"/>
        </w:numPr>
        <w:pBdr>
          <w:top w:val="nil"/>
          <w:left w:val="nil"/>
          <w:bottom w:val="nil"/>
          <w:right w:val="nil"/>
          <w:between w:val="nil"/>
        </w:pBdr>
        <w:spacing w:before="120" w:after="288" w:line="312" w:lineRule="auto"/>
        <w:ind w:left="851" w:firstLine="0"/>
        <w:jc w:val="both"/>
        <w:rPr>
          <w:rFonts w:ascii="Arial" w:eastAsia="Arial" w:hAnsi="Arial" w:cs="Arial"/>
          <w:i/>
          <w:color w:val="000000"/>
          <w:sz w:val="20"/>
          <w:szCs w:val="20"/>
        </w:rPr>
      </w:pPr>
      <w:r>
        <w:rPr>
          <w:rFonts w:ascii="Arial" w:eastAsia="Arial" w:hAnsi="Arial" w:cs="Arial"/>
          <w:i/>
          <w:color w:val="000000"/>
          <w:sz w:val="20"/>
          <w:szCs w:val="20"/>
        </w:rPr>
        <w:t>....</w:t>
      </w:r>
    </w:p>
    <w:p w:rsidR="00A41088" w:rsidRDefault="005E13F6">
      <w:pPr>
        <w:pStyle w:val="normal0"/>
        <w:numPr>
          <w:ilvl w:val="3"/>
          <w:numId w:val="3"/>
        </w:numPr>
        <w:pBdr>
          <w:top w:val="nil"/>
          <w:left w:val="nil"/>
          <w:bottom w:val="nil"/>
          <w:right w:val="nil"/>
          <w:between w:val="nil"/>
        </w:pBdr>
        <w:spacing w:before="120" w:after="288" w:line="312" w:lineRule="auto"/>
        <w:ind w:left="851" w:firstLine="0"/>
        <w:jc w:val="both"/>
        <w:rPr>
          <w:rFonts w:ascii="Arial" w:eastAsia="Arial" w:hAnsi="Arial" w:cs="Arial"/>
          <w:i/>
          <w:color w:val="000000"/>
          <w:sz w:val="20"/>
          <w:szCs w:val="20"/>
        </w:rPr>
      </w:pPr>
      <w:r>
        <w:rPr>
          <w:rFonts w:ascii="Arial" w:eastAsia="Arial" w:hAnsi="Arial" w:cs="Arial"/>
          <w:i/>
          <w:color w:val="000000"/>
          <w:sz w:val="20"/>
          <w:szCs w:val="20"/>
        </w:rPr>
        <w:lastRenderedPageBreak/>
        <w:t>....</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Será admitida, para fins de comprovação de quantitativo mínimo, a apresentação e o somatório de diferentes atestados executados de forma concomitante.</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rPr>
          <w:highlight w:val="yellow"/>
        </w:rPr>
      </w:pPr>
      <w:r>
        <w:rPr>
          <w:rFonts w:ascii="Arial" w:eastAsia="Arial" w:hAnsi="Arial" w:cs="Arial"/>
          <w:i/>
          <w:color w:val="000000"/>
          <w:sz w:val="20"/>
          <w:szCs w:val="20"/>
        </w:rPr>
        <w:t>Os atestados de capacidade técnica poderão ser apresentados em nome da matriz ou da filial do fornecedor.</w:t>
      </w:r>
    </w:p>
    <w:p w:rsidR="00A41088" w:rsidRDefault="005E13F6">
      <w:pPr>
        <w:pStyle w:val="normal0"/>
        <w:numPr>
          <w:ilvl w:val="2"/>
          <w:numId w:val="3"/>
        </w:numPr>
        <w:pBdr>
          <w:top w:val="nil"/>
          <w:left w:val="nil"/>
          <w:bottom w:val="nil"/>
          <w:right w:val="nil"/>
          <w:between w:val="nil"/>
        </w:pBdr>
        <w:spacing w:before="120" w:after="288" w:line="312" w:lineRule="auto"/>
        <w:ind w:left="170" w:firstLine="709"/>
        <w:jc w:val="both"/>
      </w:pPr>
      <w:r>
        <w:rPr>
          <w:rFonts w:ascii="Arial" w:eastAsia="Arial" w:hAnsi="Arial" w:cs="Arial"/>
          <w:i/>
          <w:color w:val="000000"/>
          <w:sz w:val="20"/>
          <w:szCs w:val="2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A41088" w:rsidRDefault="005E13F6">
      <w:pPr>
        <w:pStyle w:val="normal0"/>
        <w:pBdr>
          <w:top w:val="nil"/>
          <w:left w:val="nil"/>
          <w:bottom w:val="nil"/>
          <w:right w:val="nil"/>
          <w:between w:val="nil"/>
        </w:pBdr>
        <w:spacing w:before="120" w:after="288" w:line="312" w:lineRule="auto"/>
        <w:ind w:left="879"/>
        <w:jc w:val="both"/>
        <w:rPr>
          <w:rFonts w:ascii="Arial" w:eastAsia="Arial" w:hAnsi="Arial" w:cs="Arial"/>
          <w:i/>
          <w:color w:val="000000"/>
          <w:sz w:val="20"/>
          <w:szCs w:val="20"/>
        </w:rPr>
      </w:pPr>
      <w:r>
        <w:rPr>
          <w:rFonts w:ascii="Arial" w:eastAsia="Arial" w:hAnsi="Arial" w:cs="Arial"/>
          <w:i/>
          <w:color w:val="000000"/>
          <w:sz w:val="20"/>
          <w:szCs w:val="20"/>
        </w:rPr>
        <w:t xml:space="preserve">12.2 </w:t>
      </w:r>
      <w:r>
        <w:rPr>
          <w:rFonts w:ascii="Arial" w:eastAsia="Arial" w:hAnsi="Arial" w:cs="Arial"/>
          <w:i/>
          <w:color w:val="000000"/>
          <w:sz w:val="20"/>
          <w:szCs w:val="20"/>
          <w:highlight w:val="yellow"/>
        </w:rPr>
        <w:t>QUALIFICAÇÃO TÉCNICO-PROFISSIONAL, SE APLICÁVEL - EXIGÊNCIA DE QUALIFICAÇÃO TÉCNICA DOS PROFISSIONAIS, SE NECESSÁRIO E SEM EXIGIR VÍNCULO LABORAL ANTES DA CELEBRAÇÃO DE CONTRATO.</w:t>
      </w:r>
    </w:p>
    <w:p w:rsidR="00A41088" w:rsidRDefault="005E13F6">
      <w:pPr>
        <w:pStyle w:val="normal0"/>
        <w:numPr>
          <w:ilvl w:val="1"/>
          <w:numId w:val="5"/>
        </w:numPr>
        <w:pBdr>
          <w:top w:val="nil"/>
          <w:left w:val="nil"/>
          <w:bottom w:val="nil"/>
          <w:right w:val="nil"/>
          <w:between w:val="nil"/>
        </w:pBdr>
        <w:spacing w:before="120" w:after="288" w:line="312" w:lineRule="auto"/>
        <w:jc w:val="both"/>
      </w:pPr>
      <w:r>
        <w:rPr>
          <w:rFonts w:ascii="Arial" w:eastAsia="Arial" w:hAnsi="Arial" w:cs="Arial"/>
          <w:color w:val="000000"/>
          <w:sz w:val="20"/>
          <w:szCs w:val="20"/>
        </w:rPr>
        <w:t>Caso admitida a participação de cooperativas, será exigida a seguinte documentação complementar:</w:t>
      </w:r>
    </w:p>
    <w:p w:rsidR="00A41088" w:rsidRDefault="005E13F6">
      <w:pPr>
        <w:pStyle w:val="normal0"/>
        <w:numPr>
          <w:ilvl w:val="2"/>
          <w:numId w:val="5"/>
        </w:numPr>
        <w:pBdr>
          <w:top w:val="nil"/>
          <w:left w:val="nil"/>
          <w:bottom w:val="nil"/>
          <w:right w:val="nil"/>
          <w:between w:val="nil"/>
        </w:pBdr>
        <w:spacing w:before="120" w:after="288" w:line="312" w:lineRule="auto"/>
        <w:jc w:val="both"/>
      </w:pPr>
      <w:r>
        <w:rPr>
          <w:rFonts w:ascii="Arial" w:eastAsia="Arial" w:hAnsi="Arial" w:cs="Arial"/>
          <w:color w:val="000000"/>
          <w:sz w:val="20"/>
          <w:szCs w:val="2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7" w:anchor="art4">
        <w:r>
          <w:rPr>
            <w:rFonts w:ascii="Arial" w:eastAsia="Arial" w:hAnsi="Arial" w:cs="Arial"/>
            <w:color w:val="000080"/>
            <w:sz w:val="20"/>
            <w:szCs w:val="20"/>
            <w:u w:val="single"/>
          </w:rPr>
          <w:t>arts. 4º, inciso XI, 21, inciso I</w:t>
        </w:r>
      </w:hyperlink>
      <w:r>
        <w:rPr>
          <w:rFonts w:ascii="Arial" w:eastAsia="Arial" w:hAnsi="Arial" w:cs="Arial"/>
          <w:color w:val="000000"/>
          <w:sz w:val="20"/>
          <w:szCs w:val="20"/>
        </w:rPr>
        <w:t xml:space="preserve"> e </w:t>
      </w:r>
      <w:hyperlink r:id="rId38" w:anchor="art42">
        <w:r>
          <w:rPr>
            <w:rFonts w:ascii="Arial" w:eastAsia="Arial" w:hAnsi="Arial" w:cs="Arial"/>
            <w:color w:val="000080"/>
            <w:sz w:val="20"/>
            <w:szCs w:val="20"/>
            <w:u w:val="single"/>
          </w:rPr>
          <w:t>42, §§2º a 6º da Lei n. 5.764, de 1971</w:t>
        </w:r>
      </w:hyperlink>
      <w:r>
        <w:rPr>
          <w:rFonts w:ascii="Arial" w:eastAsia="Arial" w:hAnsi="Arial" w:cs="Arial"/>
          <w:color w:val="000000"/>
          <w:sz w:val="20"/>
          <w:szCs w:val="20"/>
        </w:rPr>
        <w:t>;</w:t>
      </w:r>
    </w:p>
    <w:p w:rsidR="00A41088" w:rsidRDefault="005E13F6">
      <w:pPr>
        <w:pStyle w:val="normal0"/>
        <w:numPr>
          <w:ilvl w:val="2"/>
          <w:numId w:val="5"/>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A declaração de regularidade de situação do contribuinte individual – DRSCI, para cada um dos cooperados indicados;</w:t>
      </w:r>
    </w:p>
    <w:p w:rsidR="00A41088" w:rsidRDefault="005E13F6">
      <w:pPr>
        <w:pStyle w:val="normal0"/>
        <w:numPr>
          <w:ilvl w:val="2"/>
          <w:numId w:val="5"/>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 xml:space="preserve">A comprovação do capital social proporcional ao número de cooperados necessários à prestação do serviço; </w:t>
      </w:r>
    </w:p>
    <w:p w:rsidR="00A41088" w:rsidRDefault="005E13F6">
      <w:pPr>
        <w:pStyle w:val="normal0"/>
        <w:numPr>
          <w:ilvl w:val="2"/>
          <w:numId w:val="5"/>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 xml:space="preserve">O registro previsto na </w:t>
      </w:r>
      <w:hyperlink r:id="rId39" w:anchor="art107">
        <w:r>
          <w:rPr>
            <w:rFonts w:ascii="Arial" w:eastAsia="Arial" w:hAnsi="Arial" w:cs="Arial"/>
            <w:color w:val="000080"/>
            <w:sz w:val="20"/>
            <w:szCs w:val="20"/>
            <w:u w:val="single"/>
          </w:rPr>
          <w:t>Lei n. 5.764, de 1971, art. 107</w:t>
        </w:r>
      </w:hyperlink>
      <w:r>
        <w:rPr>
          <w:rFonts w:ascii="Arial" w:eastAsia="Arial" w:hAnsi="Arial" w:cs="Arial"/>
          <w:color w:val="000000"/>
          <w:sz w:val="20"/>
          <w:szCs w:val="20"/>
        </w:rPr>
        <w:t>;</w:t>
      </w:r>
    </w:p>
    <w:p w:rsidR="00A41088" w:rsidRDefault="005E13F6">
      <w:pPr>
        <w:pStyle w:val="normal0"/>
        <w:numPr>
          <w:ilvl w:val="2"/>
          <w:numId w:val="5"/>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 xml:space="preserve"> A comprovação de integração das respectivas quotas-partes por parte dos cooperados que executarão o contrato; e</w:t>
      </w:r>
    </w:p>
    <w:p w:rsidR="00A41088" w:rsidRDefault="005E13F6">
      <w:pPr>
        <w:pStyle w:val="normal0"/>
        <w:numPr>
          <w:ilvl w:val="2"/>
          <w:numId w:val="5"/>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w:t>
      </w:r>
      <w:r>
        <w:rPr>
          <w:rFonts w:ascii="Arial" w:eastAsia="Arial" w:hAnsi="Arial" w:cs="Arial"/>
          <w:color w:val="000000"/>
          <w:sz w:val="20"/>
          <w:szCs w:val="20"/>
        </w:rPr>
        <w:lastRenderedPageBreak/>
        <w:t>o contrato em assembleias gerais ou nas reuniões seccionais; e f) ata da sessão que os cooperados autorizaram a cooperativa a contratar o objeto da licitação;</w:t>
      </w:r>
    </w:p>
    <w:p w:rsidR="00A41088" w:rsidRDefault="005E13F6">
      <w:pPr>
        <w:pStyle w:val="normal0"/>
        <w:numPr>
          <w:ilvl w:val="2"/>
          <w:numId w:val="5"/>
        </w:numPr>
        <w:pBdr>
          <w:top w:val="nil"/>
          <w:left w:val="nil"/>
          <w:bottom w:val="nil"/>
          <w:right w:val="nil"/>
          <w:between w:val="nil"/>
        </w:pBdr>
        <w:spacing w:before="120" w:after="288" w:line="312" w:lineRule="auto"/>
        <w:ind w:left="170" w:firstLine="709"/>
        <w:jc w:val="both"/>
      </w:pPr>
      <w:r>
        <w:rPr>
          <w:rFonts w:ascii="Arial" w:eastAsia="Arial" w:hAnsi="Arial" w:cs="Arial"/>
          <w:color w:val="000000"/>
          <w:sz w:val="20"/>
          <w:szCs w:val="20"/>
        </w:rPr>
        <w:t xml:space="preserve">A última auditoria contábil-financeira da cooperativa, conforme dispõe o </w:t>
      </w:r>
      <w:hyperlink r:id="rId40" w:anchor="art112">
        <w:r>
          <w:rPr>
            <w:rFonts w:ascii="Arial" w:eastAsia="Arial" w:hAnsi="Arial" w:cs="Arial"/>
            <w:color w:val="000080"/>
            <w:sz w:val="20"/>
            <w:szCs w:val="20"/>
            <w:u w:val="single"/>
          </w:rPr>
          <w:t>art. 112 da Lei n. 5.764, de 1971</w:t>
        </w:r>
      </w:hyperlink>
      <w:r>
        <w:rPr>
          <w:rFonts w:ascii="Arial" w:eastAsia="Arial" w:hAnsi="Arial" w:cs="Arial"/>
          <w:color w:val="000000"/>
          <w:sz w:val="20"/>
          <w:szCs w:val="20"/>
        </w:rPr>
        <w:t>, ou uma declaração, sob as penas da lei, de que tal auditoria não foi exigida pelo órgão fiscalizador.</w:t>
      </w:r>
    </w:p>
    <w:p w:rsidR="00A41088" w:rsidRDefault="005E13F6">
      <w:pPr>
        <w:pStyle w:val="normal0"/>
        <w:keepNext/>
        <w:keepLines/>
        <w:numPr>
          <w:ilvl w:val="0"/>
          <w:numId w:val="5"/>
        </w:numPr>
        <w:pBdr>
          <w:top w:val="nil"/>
          <w:left w:val="nil"/>
          <w:bottom w:val="nil"/>
          <w:right w:val="nil"/>
          <w:between w:val="nil"/>
        </w:pBdr>
        <w:tabs>
          <w:tab w:val="left" w:pos="567"/>
        </w:tabs>
        <w:spacing w:before="120" w:after="288" w:line="312" w:lineRule="auto"/>
        <w:jc w:val="both"/>
      </w:pPr>
      <w:r>
        <w:rPr>
          <w:rFonts w:ascii="Arial" w:eastAsia="Arial" w:hAnsi="Arial" w:cs="Arial"/>
          <w:b/>
          <w:color w:val="000000"/>
          <w:sz w:val="20"/>
          <w:szCs w:val="20"/>
        </w:rPr>
        <w:t>ESTIMATIVAS DO VALOR DA CONTRATAÇÃO</w:t>
      </w:r>
    </w:p>
    <w:p w:rsidR="00A41088" w:rsidRDefault="005E13F6">
      <w:pPr>
        <w:pStyle w:val="normal0"/>
        <w:numPr>
          <w:ilvl w:val="1"/>
          <w:numId w:val="1"/>
        </w:numPr>
        <w:pBdr>
          <w:top w:val="nil"/>
          <w:left w:val="nil"/>
          <w:bottom w:val="nil"/>
          <w:right w:val="nil"/>
          <w:between w:val="nil"/>
        </w:pBdr>
        <w:spacing w:before="120" w:after="288" w:line="312" w:lineRule="auto"/>
        <w:jc w:val="both"/>
        <w:rPr>
          <w:rFonts w:ascii="Arial" w:eastAsia="Arial" w:hAnsi="Arial" w:cs="Arial"/>
          <w:i/>
          <w:color w:val="000000"/>
          <w:sz w:val="20"/>
          <w:szCs w:val="20"/>
        </w:rPr>
      </w:pPr>
      <w:r>
        <w:rPr>
          <w:rFonts w:ascii="Arial" w:eastAsia="Arial" w:hAnsi="Arial" w:cs="Arial"/>
          <w:i/>
          <w:color w:val="000000"/>
          <w:sz w:val="20"/>
          <w:szCs w:val="20"/>
        </w:rPr>
        <w:t xml:space="preserve">O custo estimado total da contratação é de R$... (por extenso), conforme custos unitários apostos na [tabela acima] </w:t>
      </w:r>
      <w:r>
        <w:rPr>
          <w:rFonts w:ascii="Arial" w:eastAsia="Arial" w:hAnsi="Arial" w:cs="Arial"/>
          <w:b/>
          <w:i/>
          <w:color w:val="000000"/>
          <w:sz w:val="20"/>
          <w:szCs w:val="20"/>
        </w:rPr>
        <w:t>OU</w:t>
      </w:r>
      <w:r>
        <w:rPr>
          <w:rFonts w:ascii="Arial" w:eastAsia="Arial" w:hAnsi="Arial" w:cs="Arial"/>
          <w:i/>
          <w:color w:val="000000"/>
          <w:sz w:val="20"/>
          <w:szCs w:val="20"/>
        </w:rPr>
        <w:t xml:space="preserve"> [em anexo].</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OU</w:t>
      </w:r>
    </w:p>
    <w:p w:rsidR="00A41088" w:rsidRDefault="005E13F6">
      <w:pPr>
        <w:pStyle w:val="normal0"/>
        <w:numPr>
          <w:ilvl w:val="1"/>
          <w:numId w:val="1"/>
        </w:numPr>
        <w:pBdr>
          <w:top w:val="nil"/>
          <w:left w:val="nil"/>
          <w:bottom w:val="nil"/>
          <w:right w:val="nil"/>
          <w:between w:val="nil"/>
        </w:pBdr>
        <w:spacing w:before="120" w:after="288" w:line="312" w:lineRule="auto"/>
        <w:jc w:val="both"/>
        <w:rPr>
          <w:rFonts w:ascii="Arial" w:eastAsia="Arial" w:hAnsi="Arial" w:cs="Arial"/>
          <w:i/>
          <w:color w:val="000000"/>
          <w:sz w:val="20"/>
          <w:szCs w:val="20"/>
        </w:rPr>
      </w:pPr>
      <w:r>
        <w:rPr>
          <w:rFonts w:ascii="Arial" w:eastAsia="Arial" w:hAnsi="Arial" w:cs="Arial"/>
          <w:i/>
          <w:color w:val="000000"/>
          <w:sz w:val="20"/>
          <w:szCs w:val="20"/>
        </w:rPr>
        <w:t>O valor de referência para aplicação do maior desconto corresponde a R$.....</w:t>
      </w:r>
    </w:p>
    <w:p w:rsidR="00A41088" w:rsidRDefault="005E13F6">
      <w:pPr>
        <w:pStyle w:val="normal0"/>
        <w:pBdr>
          <w:top w:val="nil"/>
          <w:left w:val="nil"/>
          <w:bottom w:val="nil"/>
          <w:right w:val="nil"/>
          <w:between w:val="nil"/>
        </w:pBdr>
        <w:spacing w:before="120" w:after="288" w:line="312" w:lineRule="auto"/>
        <w:jc w:val="center"/>
        <w:rPr>
          <w:rFonts w:ascii="Arial" w:eastAsia="Arial" w:hAnsi="Arial" w:cs="Arial"/>
          <w:b/>
          <w:i/>
          <w:color w:val="FF0000"/>
          <w:sz w:val="20"/>
          <w:szCs w:val="20"/>
          <w:u w:val="single"/>
        </w:rPr>
      </w:pPr>
      <w:r>
        <w:rPr>
          <w:rFonts w:ascii="Arial" w:eastAsia="Arial" w:hAnsi="Arial" w:cs="Arial"/>
          <w:b/>
          <w:i/>
          <w:color w:val="FF0000"/>
          <w:sz w:val="20"/>
          <w:szCs w:val="20"/>
          <w:u w:val="single"/>
        </w:rPr>
        <w:t xml:space="preserve">OU </w:t>
      </w:r>
    </w:p>
    <w:p w:rsidR="00A41088" w:rsidRDefault="005E13F6">
      <w:pPr>
        <w:pStyle w:val="normal0"/>
        <w:numPr>
          <w:ilvl w:val="1"/>
          <w:numId w:val="1"/>
        </w:numPr>
        <w:pBdr>
          <w:top w:val="nil"/>
          <w:left w:val="nil"/>
          <w:bottom w:val="nil"/>
          <w:right w:val="nil"/>
          <w:between w:val="nil"/>
        </w:pBdr>
        <w:spacing w:before="120" w:after="288" w:line="312" w:lineRule="auto"/>
        <w:ind w:left="0" w:firstLine="709"/>
        <w:jc w:val="both"/>
        <w:rPr>
          <w:rFonts w:ascii="Arial" w:eastAsia="Arial" w:hAnsi="Arial" w:cs="Arial"/>
          <w:i/>
          <w:color w:val="000000"/>
          <w:sz w:val="20"/>
          <w:szCs w:val="20"/>
        </w:rPr>
      </w:pPr>
      <w:r>
        <w:rPr>
          <w:rFonts w:ascii="Arial" w:eastAsia="Arial" w:hAnsi="Arial" w:cs="Arial"/>
          <w:i/>
          <w:color w:val="000000"/>
          <w:sz w:val="20"/>
          <w:szCs w:val="20"/>
        </w:rPr>
        <w:t xml:space="preserve">O custo estimado da contratação possui caráter sigiloso e será tornado público apenas e imediatamente após o julgamento das propostas. </w:t>
      </w:r>
    </w:p>
    <w:p w:rsidR="00A41088" w:rsidRDefault="005E13F6">
      <w:pPr>
        <w:pStyle w:val="normal0"/>
        <w:numPr>
          <w:ilvl w:val="1"/>
          <w:numId w:val="1"/>
        </w:numPr>
        <w:pBdr>
          <w:top w:val="nil"/>
          <w:left w:val="nil"/>
          <w:bottom w:val="nil"/>
          <w:right w:val="nil"/>
          <w:between w:val="nil"/>
        </w:pBdr>
        <w:spacing w:before="120" w:after="288" w:line="312" w:lineRule="auto"/>
        <w:ind w:left="0" w:firstLine="709"/>
        <w:jc w:val="both"/>
        <w:rPr>
          <w:rFonts w:ascii="Arial" w:eastAsia="Arial" w:hAnsi="Arial" w:cs="Arial"/>
          <w:i/>
          <w:color w:val="000000"/>
          <w:sz w:val="20"/>
          <w:szCs w:val="20"/>
        </w:rPr>
      </w:pPr>
      <w:r>
        <w:rPr>
          <w:rFonts w:ascii="Arial" w:eastAsia="Arial" w:hAnsi="Arial" w:cs="Arial"/>
          <w:i/>
          <w:color w:val="000000"/>
          <w:sz w:val="20"/>
          <w:szCs w:val="20"/>
        </w:rPr>
        <w:t>A estimativa de custo levou em consideração o risco envolvido na contratação e sua alocação entre contratante e contratado, conforme especificado na matriz de risco constante do Contrato.</w:t>
      </w:r>
    </w:p>
    <w:p w:rsidR="00A41088" w:rsidRDefault="005E13F6">
      <w:pPr>
        <w:pStyle w:val="normal0"/>
        <w:keepNext/>
        <w:keepLines/>
        <w:numPr>
          <w:ilvl w:val="0"/>
          <w:numId w:val="1"/>
        </w:numPr>
        <w:pBdr>
          <w:top w:val="nil"/>
          <w:left w:val="nil"/>
          <w:bottom w:val="nil"/>
          <w:right w:val="nil"/>
          <w:between w:val="nil"/>
        </w:pBdr>
        <w:tabs>
          <w:tab w:val="left" w:pos="567"/>
        </w:tabs>
        <w:spacing w:before="120" w:after="288" w:line="312" w:lineRule="auto"/>
        <w:jc w:val="both"/>
      </w:pPr>
      <w:r>
        <w:rPr>
          <w:rFonts w:ascii="Arial" w:eastAsia="Arial" w:hAnsi="Arial" w:cs="Arial"/>
          <w:b/>
          <w:color w:val="000000"/>
          <w:sz w:val="20"/>
          <w:szCs w:val="20"/>
        </w:rPr>
        <w:t>ADEQUAÇÃO ORÇAMENTÁRIA</w:t>
      </w:r>
    </w:p>
    <w:p w:rsidR="00A41088" w:rsidRDefault="005E13F6">
      <w:pPr>
        <w:pStyle w:val="normal0"/>
        <w:numPr>
          <w:ilvl w:val="1"/>
          <w:numId w:val="1"/>
        </w:numPr>
        <w:pBdr>
          <w:top w:val="nil"/>
          <w:left w:val="nil"/>
          <w:bottom w:val="nil"/>
          <w:right w:val="nil"/>
          <w:between w:val="nil"/>
        </w:pBdr>
        <w:spacing w:before="120" w:after="288" w:line="312" w:lineRule="auto"/>
        <w:jc w:val="both"/>
      </w:pPr>
      <w:r>
        <w:rPr>
          <w:rFonts w:ascii="Arial" w:eastAsia="Arial" w:hAnsi="Arial" w:cs="Arial"/>
          <w:color w:val="000000"/>
          <w:sz w:val="20"/>
          <w:szCs w:val="20"/>
        </w:rPr>
        <w:t>As despesas decorrentes da presente contratação correrão à conta de recursos específicos consignados no Orçamento Geral do Município.</w:t>
      </w:r>
    </w:p>
    <w:p w:rsidR="00A41088" w:rsidRDefault="005E13F6">
      <w:pPr>
        <w:pStyle w:val="normal0"/>
        <w:numPr>
          <w:ilvl w:val="1"/>
          <w:numId w:val="1"/>
        </w:numPr>
        <w:pBdr>
          <w:top w:val="nil"/>
          <w:left w:val="nil"/>
          <w:bottom w:val="nil"/>
          <w:right w:val="nil"/>
          <w:between w:val="nil"/>
        </w:pBdr>
        <w:spacing w:before="120" w:after="288" w:line="312" w:lineRule="auto"/>
        <w:ind w:left="0" w:firstLine="709"/>
        <w:jc w:val="both"/>
      </w:pPr>
      <w:r>
        <w:rPr>
          <w:rFonts w:ascii="Arial" w:eastAsia="Arial" w:hAnsi="Arial" w:cs="Arial"/>
          <w:color w:val="000000"/>
          <w:sz w:val="20"/>
          <w:szCs w:val="20"/>
        </w:rPr>
        <w:t>A contratação será atendida pela seguinte dotação:</w:t>
      </w:r>
    </w:p>
    <w:p w:rsidR="00A41088" w:rsidRDefault="005E13F6">
      <w:pPr>
        <w:pStyle w:val="normal0"/>
        <w:pBdr>
          <w:top w:val="nil"/>
          <w:left w:val="nil"/>
          <w:bottom w:val="nil"/>
          <w:right w:val="nil"/>
          <w:between w:val="nil"/>
        </w:pBdr>
        <w:spacing w:before="120" w:after="288" w:line="312" w:lineRule="auto"/>
        <w:ind w:left="709"/>
        <w:jc w:val="both"/>
        <w:rPr>
          <w:rFonts w:ascii="Arial" w:eastAsia="Arial" w:hAnsi="Arial" w:cs="Arial"/>
          <w:color w:val="000000"/>
          <w:sz w:val="20"/>
          <w:szCs w:val="20"/>
        </w:rPr>
      </w:pPr>
      <w:r>
        <w:rPr>
          <w:rFonts w:ascii="Arial" w:eastAsia="Arial" w:hAnsi="Arial" w:cs="Arial"/>
          <w:color w:val="000000"/>
          <w:sz w:val="20"/>
          <w:szCs w:val="20"/>
        </w:rPr>
        <w:t>XXXXXXXXXXXXXXXXXXXXXXXXXXXXXXXXXXXXXXXXXXXXXXXXXXXXXXXXXXXXXXXXXXXXXXXXXXXXXXXXXXXXXXXXXXXXXXXXXXXXXXXXXXXXXXXXXXXXXXXXXXXXXXXXXXXXXXXXXXXXXXXXXXXXXXXXXXXXXXXXXXXXXXXXXXXXXXXXXXXXXXXXXXXXXXXXXXXXXX</w:t>
      </w:r>
    </w:p>
    <w:p w:rsidR="00A41088" w:rsidRDefault="005E13F6">
      <w:pPr>
        <w:pStyle w:val="normal0"/>
        <w:numPr>
          <w:ilvl w:val="1"/>
          <w:numId w:val="1"/>
        </w:numPr>
        <w:pBdr>
          <w:top w:val="nil"/>
          <w:left w:val="nil"/>
          <w:bottom w:val="nil"/>
          <w:right w:val="nil"/>
          <w:between w:val="nil"/>
        </w:pBdr>
        <w:spacing w:before="120" w:after="288" w:line="312" w:lineRule="auto"/>
        <w:ind w:left="0" w:firstLine="709"/>
        <w:jc w:val="both"/>
        <w:rPr>
          <w:rFonts w:ascii="Arial" w:eastAsia="Arial" w:hAnsi="Arial" w:cs="Arial"/>
          <w:i/>
          <w:color w:val="000000"/>
          <w:sz w:val="20"/>
          <w:szCs w:val="20"/>
        </w:rPr>
      </w:pPr>
      <w:r>
        <w:rPr>
          <w:rFonts w:ascii="Arial" w:eastAsia="Arial" w:hAnsi="Arial" w:cs="Arial"/>
          <w:i/>
          <w:color w:val="000000"/>
          <w:sz w:val="20"/>
          <w:szCs w:val="20"/>
        </w:rPr>
        <w:t>A dotação relativa aos exercícios financeiros subsequentes será indicada após aprovação da Lei Orçamentária respectiva e liberação dos créditos correspondentes, mediante apostilamento.</w:t>
      </w:r>
    </w:p>
    <w:p w:rsidR="00A41088" w:rsidRDefault="00A41088">
      <w:pPr>
        <w:pStyle w:val="normal0"/>
        <w:pBdr>
          <w:top w:val="nil"/>
          <w:left w:val="nil"/>
          <w:bottom w:val="nil"/>
          <w:right w:val="nil"/>
          <w:between w:val="nil"/>
        </w:pBdr>
        <w:spacing w:before="120" w:after="288" w:line="312" w:lineRule="auto"/>
        <w:jc w:val="right"/>
        <w:rPr>
          <w:rFonts w:ascii="Arial" w:eastAsia="Arial" w:hAnsi="Arial" w:cs="Arial"/>
          <w:i/>
          <w:color w:val="000000"/>
          <w:sz w:val="20"/>
          <w:szCs w:val="20"/>
        </w:rPr>
      </w:pPr>
    </w:p>
    <w:p w:rsidR="00A41088" w:rsidRDefault="005E13F6">
      <w:pPr>
        <w:pStyle w:val="normal0"/>
        <w:pBdr>
          <w:top w:val="nil"/>
          <w:left w:val="nil"/>
          <w:bottom w:val="nil"/>
          <w:right w:val="nil"/>
          <w:between w:val="nil"/>
        </w:pBdr>
        <w:spacing w:before="120" w:after="288" w:line="312" w:lineRule="auto"/>
        <w:jc w:val="right"/>
        <w:rPr>
          <w:rFonts w:ascii="Arial" w:eastAsia="Arial" w:hAnsi="Arial" w:cs="Arial"/>
          <w:i/>
          <w:color w:val="000000"/>
          <w:sz w:val="20"/>
          <w:szCs w:val="20"/>
        </w:rPr>
      </w:pPr>
      <w:r>
        <w:rPr>
          <w:rFonts w:ascii="Arial" w:eastAsia="Arial" w:hAnsi="Arial" w:cs="Arial"/>
          <w:i/>
          <w:color w:val="000000"/>
          <w:sz w:val="20"/>
          <w:szCs w:val="20"/>
        </w:rPr>
        <w:t>Santa Luzia/MG, XX de XXXXX de 20...</w:t>
      </w:r>
    </w:p>
    <w:p w:rsidR="00A41088" w:rsidRDefault="00A41088">
      <w:pPr>
        <w:pStyle w:val="normal0"/>
        <w:pBdr>
          <w:top w:val="nil"/>
          <w:left w:val="nil"/>
          <w:bottom w:val="nil"/>
          <w:right w:val="nil"/>
          <w:between w:val="nil"/>
        </w:pBdr>
        <w:spacing w:before="120" w:after="288" w:line="312" w:lineRule="auto"/>
        <w:jc w:val="both"/>
        <w:rPr>
          <w:rFonts w:ascii="Arial" w:eastAsia="Arial" w:hAnsi="Arial" w:cs="Arial"/>
          <w:i/>
          <w:color w:val="000000"/>
          <w:sz w:val="20"/>
          <w:szCs w:val="20"/>
        </w:rPr>
      </w:pPr>
    </w:p>
    <w:p w:rsidR="00A41088" w:rsidRDefault="00A41088">
      <w:pPr>
        <w:pStyle w:val="normal0"/>
        <w:pBdr>
          <w:top w:val="nil"/>
          <w:left w:val="nil"/>
          <w:bottom w:val="nil"/>
          <w:right w:val="nil"/>
          <w:between w:val="nil"/>
        </w:pBdr>
        <w:spacing w:before="120" w:after="288" w:line="312" w:lineRule="auto"/>
        <w:jc w:val="both"/>
        <w:rPr>
          <w:rFonts w:ascii="Arial" w:eastAsia="Arial" w:hAnsi="Arial" w:cs="Arial"/>
          <w:i/>
          <w:color w:val="000000"/>
          <w:sz w:val="20"/>
          <w:szCs w:val="20"/>
        </w:rPr>
      </w:pPr>
    </w:p>
    <w:p w:rsidR="00A41088" w:rsidRDefault="00A41088">
      <w:pPr>
        <w:pStyle w:val="normal0"/>
        <w:pBdr>
          <w:top w:val="nil"/>
          <w:left w:val="nil"/>
          <w:bottom w:val="nil"/>
          <w:right w:val="nil"/>
          <w:between w:val="nil"/>
        </w:pBdr>
        <w:spacing w:before="120" w:after="288" w:line="312" w:lineRule="auto"/>
        <w:jc w:val="both"/>
        <w:rPr>
          <w:rFonts w:ascii="Arial" w:eastAsia="Arial" w:hAnsi="Arial" w:cs="Arial"/>
          <w:i/>
          <w:color w:val="000000"/>
          <w:sz w:val="20"/>
          <w:szCs w:val="20"/>
        </w:rPr>
      </w:pPr>
    </w:p>
    <w:p w:rsidR="00A41088" w:rsidRDefault="00A41088">
      <w:pPr>
        <w:pStyle w:val="normal0"/>
        <w:pBdr>
          <w:top w:val="nil"/>
          <w:left w:val="nil"/>
          <w:bottom w:val="nil"/>
          <w:right w:val="nil"/>
          <w:between w:val="nil"/>
        </w:pBdr>
        <w:spacing w:before="120" w:after="288" w:line="312" w:lineRule="auto"/>
        <w:jc w:val="both"/>
        <w:rPr>
          <w:rFonts w:ascii="Arial" w:eastAsia="Arial" w:hAnsi="Arial" w:cs="Arial"/>
          <w:i/>
          <w:color w:val="000000"/>
          <w:sz w:val="20"/>
          <w:szCs w:val="20"/>
        </w:rPr>
      </w:pPr>
    </w:p>
    <w:p w:rsidR="00A41088" w:rsidRDefault="005E13F6">
      <w:pPr>
        <w:pStyle w:val="normal0"/>
        <w:spacing w:before="120" w:after="288" w:line="312" w:lineRule="auto"/>
        <w:ind w:left="357"/>
        <w:jc w:val="center"/>
        <w:rPr>
          <w:rFonts w:ascii="Arial" w:eastAsia="Arial" w:hAnsi="Arial" w:cs="Arial"/>
          <w:sz w:val="20"/>
          <w:szCs w:val="20"/>
        </w:rPr>
      </w:pPr>
      <w:r>
        <w:rPr>
          <w:rFonts w:ascii="Arial" w:eastAsia="Arial" w:hAnsi="Arial" w:cs="Arial"/>
          <w:sz w:val="20"/>
          <w:szCs w:val="20"/>
        </w:rPr>
        <w:t>___________________________________________________________________________________</w:t>
      </w:r>
    </w:p>
    <w:p w:rsidR="00A41088" w:rsidRDefault="005E13F6">
      <w:pPr>
        <w:pStyle w:val="normal0"/>
        <w:spacing w:before="120" w:after="288" w:line="312" w:lineRule="auto"/>
        <w:ind w:left="360"/>
        <w:jc w:val="center"/>
        <w:rPr>
          <w:rFonts w:ascii="Arial" w:eastAsia="Arial" w:hAnsi="Arial" w:cs="Arial"/>
          <w:sz w:val="20"/>
          <w:szCs w:val="20"/>
        </w:rPr>
      </w:pPr>
      <w:r>
        <w:rPr>
          <w:rFonts w:ascii="Arial" w:eastAsia="Arial" w:hAnsi="Arial" w:cs="Arial"/>
          <w:sz w:val="20"/>
          <w:szCs w:val="20"/>
        </w:rPr>
        <w:t xml:space="preserve">     Identificação e assinatura do servidor (ou equipe) responsável</w:t>
      </w:r>
    </w:p>
    <w:p w:rsidR="0071225F" w:rsidRDefault="0071225F">
      <w:pPr>
        <w:pStyle w:val="normal0"/>
        <w:spacing w:before="120" w:after="288" w:line="312" w:lineRule="auto"/>
        <w:ind w:left="360"/>
        <w:jc w:val="center"/>
        <w:rPr>
          <w:rFonts w:ascii="Arial" w:eastAsia="Arial" w:hAnsi="Arial" w:cs="Arial"/>
          <w:sz w:val="20"/>
          <w:szCs w:val="20"/>
        </w:rPr>
      </w:pPr>
    </w:p>
    <w:p w:rsidR="0071225F" w:rsidRDefault="0071225F">
      <w:pPr>
        <w:pStyle w:val="normal0"/>
        <w:spacing w:before="120" w:after="288" w:line="312" w:lineRule="auto"/>
        <w:ind w:left="360"/>
        <w:jc w:val="center"/>
        <w:rPr>
          <w:rFonts w:ascii="Arial" w:eastAsia="Arial" w:hAnsi="Arial" w:cs="Arial"/>
          <w:sz w:val="20"/>
          <w:szCs w:val="20"/>
        </w:rPr>
      </w:pPr>
    </w:p>
    <w:tbl>
      <w:tblPr>
        <w:tblW w:w="9072" w:type="dxa"/>
        <w:tblInd w:w="622" w:type="dxa"/>
        <w:tblLayout w:type="fixed"/>
        <w:tblCellMar>
          <w:left w:w="10" w:type="dxa"/>
          <w:right w:w="10" w:type="dxa"/>
        </w:tblCellMar>
        <w:tblLook w:val="04A0"/>
      </w:tblPr>
      <w:tblGrid>
        <w:gridCol w:w="9072"/>
      </w:tblGrid>
      <w:tr w:rsidR="0071225F" w:rsidTr="0071225F">
        <w:tc>
          <w:tcPr>
            <w:tcW w:w="9072" w:type="dxa"/>
            <w:tcBorders>
              <w:top w:val="single" w:sz="2" w:space="0" w:color="000000"/>
              <w:left w:val="single" w:sz="2" w:space="0" w:color="000000"/>
              <w:right w:val="single" w:sz="2" w:space="0" w:color="000000"/>
            </w:tcBorders>
            <w:shd w:val="clear" w:color="auto" w:fill="EEEEEE"/>
            <w:tcMar>
              <w:top w:w="55" w:type="dxa"/>
              <w:left w:w="55" w:type="dxa"/>
              <w:bottom w:w="55" w:type="dxa"/>
              <w:right w:w="55" w:type="dxa"/>
            </w:tcMar>
          </w:tcPr>
          <w:p w:rsidR="0071225F"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spacing w:before="57"/>
              <w:jc w:val="center"/>
              <w:rPr>
                <w:rFonts w:ascii="Calibri" w:hAnsi="Calibri"/>
                <w:b/>
                <w:bCs/>
                <w:color w:val="000000"/>
              </w:rPr>
            </w:pPr>
            <w:r>
              <w:rPr>
                <w:rFonts w:ascii="Calibri" w:hAnsi="Calibri"/>
                <w:b/>
                <w:bCs/>
                <w:color w:val="000000"/>
              </w:rPr>
              <w:t>AUTORIDADE MÁXIMA DA SECRETARIA REQUISITANTE</w:t>
            </w:r>
          </w:p>
          <w:p w:rsidR="0071225F"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spacing w:after="57"/>
              <w:jc w:val="center"/>
              <w:rPr>
                <w:rFonts w:ascii="Calibri" w:hAnsi="Calibri"/>
                <w:b/>
                <w:bCs/>
                <w:color w:val="0000FF"/>
              </w:rPr>
            </w:pPr>
            <w:r>
              <w:rPr>
                <w:rFonts w:ascii="Calibri" w:hAnsi="Calibri"/>
                <w:b/>
                <w:bCs/>
                <w:color w:val="0000FF"/>
              </w:rPr>
              <w:t xml:space="preserve"> (OU AUTORIDADE SUPERIOR)</w:t>
            </w:r>
          </w:p>
        </w:tc>
      </w:tr>
      <w:tr w:rsidR="0071225F" w:rsidTr="0071225F">
        <w:tc>
          <w:tcPr>
            <w:tcW w:w="9072" w:type="dxa"/>
            <w:tcBorders>
              <w:left w:val="single" w:sz="2" w:space="0" w:color="000000"/>
              <w:bottom w:val="single" w:sz="2" w:space="0" w:color="000000"/>
              <w:right w:val="single" w:sz="2" w:space="0" w:color="000000"/>
            </w:tcBorders>
            <w:shd w:val="clear" w:color="auto" w:fill="FFFFFF"/>
            <w:tcMar>
              <w:top w:w="55" w:type="dxa"/>
              <w:left w:w="55" w:type="dxa"/>
              <w:bottom w:w="55" w:type="dxa"/>
              <w:right w:w="55" w:type="dxa"/>
            </w:tcMar>
          </w:tcPr>
          <w:p w:rsidR="0071225F" w:rsidRPr="00DB71AC"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p>
          <w:p w:rsidR="0071225F" w:rsidRPr="00DB71AC"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ascii="Calibri" w:hAnsi="Calibri"/>
              </w:rPr>
            </w:pPr>
            <w:r w:rsidRPr="00DB71AC">
              <w:rPr>
                <w:rFonts w:ascii="Calibri" w:hAnsi="Calibri"/>
              </w:rPr>
              <w:t>_____________________________</w:t>
            </w:r>
            <w:r>
              <w:rPr>
                <w:rFonts w:ascii="Calibri" w:hAnsi="Calibri"/>
              </w:rPr>
              <w:t>_____________________________________</w:t>
            </w:r>
          </w:p>
          <w:p w:rsidR="0071225F" w:rsidRPr="00DB71AC"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jc w:val="center"/>
              <w:rPr>
                <w:rFonts w:ascii="Calibri" w:hAnsi="Calibri"/>
              </w:rPr>
            </w:pPr>
            <w:r w:rsidRPr="00DB71AC">
              <w:rPr>
                <w:rFonts w:ascii="Calibri" w:hAnsi="Calibri"/>
              </w:rPr>
              <w:t>&lt;Nome da autoridade</w:t>
            </w:r>
            <w:r>
              <w:rPr>
                <w:rFonts w:ascii="Calibri" w:hAnsi="Calibri"/>
              </w:rPr>
              <w:t xml:space="preserve"> responsável pela aprovação do Termo de Referência</w:t>
            </w:r>
            <w:r w:rsidRPr="00DB71AC">
              <w:rPr>
                <w:rFonts w:ascii="Calibri" w:hAnsi="Calibri"/>
              </w:rPr>
              <w:t>&gt;</w:t>
            </w:r>
          </w:p>
          <w:p w:rsidR="0071225F" w:rsidRPr="00DB71AC"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jc w:val="center"/>
              <w:rPr>
                <w:rFonts w:ascii="Calibri" w:hAnsi="Calibri"/>
              </w:rPr>
            </w:pPr>
            <w:r w:rsidRPr="00DB71AC">
              <w:rPr>
                <w:rFonts w:ascii="Calibri" w:hAnsi="Calibri"/>
              </w:rPr>
              <w:t>&lt;Cargo&gt;</w:t>
            </w:r>
          </w:p>
          <w:p w:rsidR="0071225F" w:rsidRPr="00DB71AC"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jc w:val="center"/>
            </w:pPr>
            <w:r w:rsidRPr="00DB71AC">
              <w:rPr>
                <w:rFonts w:ascii="Calibri" w:hAnsi="Calibri"/>
                <w:b/>
                <w:bCs/>
              </w:rPr>
              <w:t>Matrícula: xxxxxx</w:t>
            </w:r>
          </w:p>
          <w:p w:rsidR="0071225F" w:rsidRPr="00DB71AC"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b/>
                <w:bCs/>
              </w:rPr>
            </w:pPr>
          </w:p>
          <w:p w:rsidR="0071225F" w:rsidRDefault="0071225F" w:rsidP="004C452E">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pPr>
            <w:r w:rsidRPr="00DB71AC">
              <w:rPr>
                <w:rFonts w:ascii="Calibri" w:hAnsi="Calibri"/>
              </w:rPr>
              <w:t>&lt;Local&gt;, &lt;dia&gt; de &lt;mês&gt; de &lt;ano&gt;</w:t>
            </w:r>
          </w:p>
        </w:tc>
      </w:tr>
    </w:tbl>
    <w:p w:rsidR="0071225F" w:rsidRDefault="0071225F">
      <w:pPr>
        <w:pStyle w:val="normal0"/>
        <w:spacing w:before="120" w:after="288" w:line="312" w:lineRule="auto"/>
        <w:ind w:left="360"/>
        <w:jc w:val="center"/>
        <w:rPr>
          <w:rFonts w:ascii="Arial" w:eastAsia="Arial" w:hAnsi="Arial" w:cs="Arial"/>
          <w:sz w:val="20"/>
          <w:szCs w:val="20"/>
        </w:rPr>
      </w:pPr>
    </w:p>
    <w:sectPr w:rsidR="0071225F" w:rsidSect="00A41088">
      <w:headerReference w:type="even" r:id="rId41"/>
      <w:headerReference w:type="default" r:id="rId42"/>
      <w:footerReference w:type="even" r:id="rId43"/>
      <w:footerReference w:type="default" r:id="rId44"/>
      <w:headerReference w:type="first" r:id="rId45"/>
      <w:footerReference w:type="first" r:id="rId46"/>
      <w:pgSz w:w="11906" w:h="16838"/>
      <w:pgMar w:top="1418" w:right="1134" w:bottom="1418"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C7B" w:rsidRDefault="00B76C7B" w:rsidP="00A41088">
      <w:r>
        <w:separator/>
      </w:r>
    </w:p>
  </w:endnote>
  <w:endnote w:type="continuationSeparator" w:id="1">
    <w:p w:rsidR="00B76C7B" w:rsidRDefault="00B76C7B" w:rsidP="00A410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awline">
    <w:altName w:val="Calibri"/>
    <w:charset w:val="00"/>
    <w:family w:val="auto"/>
    <w:pitch w:val="variable"/>
    <w:sig w:usb0="20000207"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E" w:rsidRDefault="00BE734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88" w:rsidRDefault="005E13F6">
    <w:pPr>
      <w:pStyle w:val="normal0"/>
      <w:pBdr>
        <w:top w:val="nil"/>
        <w:left w:val="nil"/>
        <w:bottom w:val="nil"/>
        <w:right w:val="nil"/>
        <w:between w:val="nil"/>
      </w:pBdr>
      <w:tabs>
        <w:tab w:val="center" w:pos="4252"/>
        <w:tab w:val="right" w:pos="8504"/>
      </w:tabs>
      <w:rPr>
        <w:color w:val="548DD4"/>
        <w:sz w:val="16"/>
        <w:szCs w:val="16"/>
      </w:rPr>
    </w:pPr>
    <w:r>
      <w:rPr>
        <w:color w:val="548DD4"/>
        <w:sz w:val="22"/>
        <w:szCs w:val="22"/>
      </w:rPr>
      <w:tab/>
    </w:r>
    <w:r>
      <w:rPr>
        <w:color w:val="548DD4"/>
        <w:sz w:val="22"/>
        <w:szCs w:val="22"/>
      </w:rPr>
      <w:tab/>
    </w:r>
  </w:p>
  <w:p w:rsidR="00A41088" w:rsidRDefault="005E13F6">
    <w:pPr>
      <w:pStyle w:val="normal0"/>
      <w:pBdr>
        <w:top w:val="nil"/>
        <w:left w:val="nil"/>
        <w:bottom w:val="nil"/>
        <w:right w:val="nil"/>
        <w:between w:val="nil"/>
      </w:pBdr>
      <w:tabs>
        <w:tab w:val="center" w:pos="4252"/>
        <w:tab w:val="right" w:pos="8504"/>
      </w:tabs>
      <w:rPr>
        <w:rFonts w:ascii="Arial" w:eastAsia="Arial" w:hAnsi="Arial" w:cs="Arial"/>
        <w:color w:val="7F7F7F"/>
        <w:sz w:val="12"/>
        <w:szCs w:val="12"/>
      </w:rPr>
    </w:pPr>
    <w:r>
      <w:rPr>
        <w:color w:val="7F7F7F"/>
        <w:sz w:val="22"/>
        <w:szCs w:val="22"/>
      </w:rPr>
      <w:tab/>
    </w:r>
    <w:r>
      <w:rPr>
        <w:color w:val="7F7F7F"/>
        <w:sz w:val="22"/>
        <w:szCs w:val="22"/>
      </w:rPr>
      <w:tab/>
    </w:r>
    <w:r>
      <w:rPr>
        <w:color w:val="595959"/>
        <w:sz w:val="22"/>
        <w:szCs w:val="22"/>
      </w:rPr>
      <w:t xml:space="preserve">Página </w:t>
    </w:r>
    <w:r w:rsidR="00B01B47">
      <w:rPr>
        <w:color w:val="595959"/>
        <w:sz w:val="22"/>
        <w:szCs w:val="22"/>
      </w:rPr>
      <w:fldChar w:fldCharType="begin"/>
    </w:r>
    <w:r>
      <w:rPr>
        <w:color w:val="595959"/>
        <w:sz w:val="22"/>
        <w:szCs w:val="22"/>
      </w:rPr>
      <w:instrText>PAGE</w:instrText>
    </w:r>
    <w:r w:rsidR="00B01B47">
      <w:rPr>
        <w:color w:val="595959"/>
        <w:sz w:val="22"/>
        <w:szCs w:val="22"/>
      </w:rPr>
      <w:fldChar w:fldCharType="separate"/>
    </w:r>
    <w:r w:rsidR="00374752">
      <w:rPr>
        <w:noProof/>
        <w:color w:val="595959"/>
        <w:sz w:val="22"/>
        <w:szCs w:val="22"/>
      </w:rPr>
      <w:t>3</w:t>
    </w:r>
    <w:r w:rsidR="00B01B47">
      <w:rPr>
        <w:color w:val="595959"/>
        <w:sz w:val="22"/>
        <w:szCs w:val="22"/>
      </w:rPr>
      <w:fldChar w:fldCharType="end"/>
    </w:r>
    <w:r>
      <w:rPr>
        <w:color w:val="595959"/>
        <w:sz w:val="22"/>
        <w:szCs w:val="22"/>
      </w:rPr>
      <w:t xml:space="preserve"> | </w:t>
    </w:r>
    <w:r w:rsidR="00B01B47">
      <w:rPr>
        <w:color w:val="000000"/>
      </w:rPr>
      <w:fldChar w:fldCharType="begin"/>
    </w:r>
    <w:r>
      <w:rPr>
        <w:color w:val="000000"/>
      </w:rPr>
      <w:instrText>NUMPAGES</w:instrText>
    </w:r>
    <w:r w:rsidR="00B01B47">
      <w:rPr>
        <w:color w:val="000000"/>
      </w:rPr>
      <w:fldChar w:fldCharType="separate"/>
    </w:r>
    <w:r w:rsidR="00374752">
      <w:rPr>
        <w:noProof/>
        <w:color w:val="000000"/>
      </w:rPr>
      <w:t>19</w:t>
    </w:r>
    <w:r w:rsidR="00B01B47">
      <w:rPr>
        <w:color w:val="000000"/>
      </w:rPr>
      <w:fldChar w:fldCharType="end"/>
    </w:r>
  </w:p>
  <w:p w:rsidR="00A41088" w:rsidRDefault="005E13F6">
    <w:pPr>
      <w:pStyle w:val="normal0"/>
      <w:pBdr>
        <w:top w:val="nil"/>
        <w:left w:val="nil"/>
        <w:bottom w:val="nil"/>
        <w:right w:val="nil"/>
        <w:between w:val="nil"/>
      </w:pBdr>
      <w:tabs>
        <w:tab w:val="center" w:pos="4252"/>
        <w:tab w:val="right" w:pos="8504"/>
      </w:tabs>
      <w:rPr>
        <w:rFonts w:ascii="Rawline" w:eastAsia="Rawline" w:hAnsi="Rawline" w:cs="Rawline"/>
        <w:color w:val="000000"/>
        <w:sz w:val="12"/>
        <w:szCs w:val="12"/>
      </w:rPr>
    </w:pPr>
    <w:r>
      <w:rPr>
        <w:rFonts w:ascii="Rawline" w:eastAsia="Rawline" w:hAnsi="Rawline" w:cs="Rawline"/>
        <w:color w:val="000000"/>
        <w:sz w:val="12"/>
        <w:szCs w:val="12"/>
      </w:rPr>
      <w:t>Câmara Nacional de Modelos de Licitações e Contratos da Consultoria-Geral da União</w:t>
    </w:r>
  </w:p>
  <w:p w:rsidR="00A41088" w:rsidRDefault="005E13F6">
    <w:pPr>
      <w:pStyle w:val="normal0"/>
      <w:pBdr>
        <w:top w:val="nil"/>
        <w:left w:val="nil"/>
        <w:bottom w:val="nil"/>
        <w:right w:val="nil"/>
        <w:between w:val="nil"/>
      </w:pBdr>
      <w:tabs>
        <w:tab w:val="center" w:pos="4252"/>
        <w:tab w:val="right" w:pos="8504"/>
      </w:tabs>
      <w:rPr>
        <w:rFonts w:ascii="Rawline" w:eastAsia="Rawline" w:hAnsi="Rawline" w:cs="Rawline"/>
        <w:color w:val="000000"/>
        <w:sz w:val="12"/>
        <w:szCs w:val="12"/>
      </w:rPr>
    </w:pPr>
    <w:r>
      <w:rPr>
        <w:rFonts w:ascii="Rawline" w:eastAsia="Rawline" w:hAnsi="Rawline" w:cs="Rawline"/>
        <w:color w:val="000000"/>
        <w:sz w:val="12"/>
        <w:szCs w:val="12"/>
      </w:rPr>
      <w:t>Atualização: dezembro/2022</w:t>
    </w:r>
  </w:p>
  <w:p w:rsidR="00A41088" w:rsidRDefault="005E13F6">
    <w:pPr>
      <w:pStyle w:val="normal0"/>
      <w:pBdr>
        <w:top w:val="nil"/>
        <w:left w:val="nil"/>
        <w:bottom w:val="nil"/>
        <w:right w:val="nil"/>
        <w:between w:val="nil"/>
      </w:pBdr>
      <w:tabs>
        <w:tab w:val="center" w:pos="4252"/>
        <w:tab w:val="right" w:pos="8504"/>
      </w:tabs>
      <w:rPr>
        <w:rFonts w:ascii="Rawline" w:eastAsia="Rawline" w:hAnsi="Rawline" w:cs="Rawline"/>
        <w:color w:val="0F243E"/>
        <w:sz w:val="22"/>
        <w:szCs w:val="22"/>
      </w:rPr>
    </w:pPr>
    <w:r>
      <w:rPr>
        <w:rFonts w:ascii="Rawline" w:eastAsia="Rawline" w:hAnsi="Rawline" w:cs="Rawline"/>
        <w:color w:val="000000"/>
        <w:sz w:val="12"/>
        <w:szCs w:val="12"/>
      </w:rPr>
      <w:t>Termo de Referência Aquisições – Licitação - Modelo para Pregão Eletrônico</w:t>
    </w:r>
    <w:r>
      <w:rPr>
        <w:rFonts w:ascii="Rawline" w:eastAsia="Rawline" w:hAnsi="Rawline" w:cs="Rawline"/>
        <w:color w:val="000000"/>
        <w:sz w:val="12"/>
        <w:szCs w:val="12"/>
      </w:rPr>
      <w:tab/>
    </w:r>
    <w:r>
      <w:rPr>
        <w:rFonts w:ascii="Rawline" w:eastAsia="Rawline" w:hAnsi="Rawline" w:cs="Rawline"/>
        <w:color w:val="000000"/>
        <w:sz w:val="12"/>
        <w:szCs w:val="12"/>
      </w:rPr>
      <w:tab/>
    </w:r>
  </w:p>
  <w:p w:rsidR="00A41088" w:rsidRDefault="005E13F6">
    <w:pPr>
      <w:pStyle w:val="normal0"/>
      <w:pBdr>
        <w:top w:val="nil"/>
        <w:left w:val="nil"/>
        <w:bottom w:val="nil"/>
        <w:right w:val="nil"/>
        <w:between w:val="nil"/>
      </w:pBdr>
      <w:tabs>
        <w:tab w:val="center" w:pos="4252"/>
        <w:tab w:val="right" w:pos="8504"/>
      </w:tabs>
      <w:rPr>
        <w:rFonts w:ascii="Rawline" w:eastAsia="Rawline" w:hAnsi="Rawline" w:cs="Rawline"/>
        <w:color w:val="000000"/>
        <w:sz w:val="12"/>
        <w:szCs w:val="12"/>
      </w:rPr>
    </w:pPr>
    <w:r>
      <w:rPr>
        <w:rFonts w:ascii="Rawline" w:eastAsia="Rawline" w:hAnsi="Rawline" w:cs="Rawline"/>
        <w:color w:val="000000"/>
        <w:sz w:val="12"/>
        <w:szCs w:val="12"/>
      </w:rPr>
      <w:t>Aprovado pela Secretaria de Gestão.</w:t>
    </w:r>
  </w:p>
  <w:p w:rsidR="00A41088" w:rsidRDefault="005E13F6">
    <w:pPr>
      <w:pStyle w:val="normal0"/>
      <w:pBdr>
        <w:top w:val="nil"/>
        <w:left w:val="nil"/>
        <w:bottom w:val="nil"/>
        <w:right w:val="nil"/>
        <w:between w:val="nil"/>
      </w:pBdr>
      <w:tabs>
        <w:tab w:val="center" w:pos="4252"/>
        <w:tab w:val="right" w:pos="8504"/>
      </w:tabs>
      <w:rPr>
        <w:rFonts w:ascii="Rawline" w:eastAsia="Rawline" w:hAnsi="Rawline" w:cs="Rawline"/>
        <w:color w:val="000000"/>
      </w:rPr>
    </w:pPr>
    <w:r>
      <w:rPr>
        <w:rFonts w:ascii="Rawline" w:eastAsia="Rawline" w:hAnsi="Rawline" w:cs="Rawline"/>
        <w:color w:val="000000"/>
        <w:sz w:val="12"/>
        <w:szCs w:val="12"/>
      </w:rPr>
      <w:t>Identidade visual pela Secretaria de Gestão (versão dezembro/2022)</w:t>
    </w:r>
  </w:p>
  <w:p w:rsidR="00A41088" w:rsidRDefault="00A41088">
    <w:pPr>
      <w:pStyle w:val="normal0"/>
      <w:pBdr>
        <w:top w:val="nil"/>
        <w:left w:val="nil"/>
        <w:bottom w:val="nil"/>
        <w:right w:val="nil"/>
        <w:between w:val="nil"/>
      </w:pBdr>
      <w:tabs>
        <w:tab w:val="center" w:pos="4252"/>
        <w:tab w:val="right" w:pos="8504"/>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E" w:rsidRDefault="00BE73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C7B" w:rsidRDefault="00B76C7B" w:rsidP="00A41088">
      <w:r>
        <w:separator/>
      </w:r>
    </w:p>
  </w:footnote>
  <w:footnote w:type="continuationSeparator" w:id="1">
    <w:p w:rsidR="00B76C7B" w:rsidRDefault="00B76C7B" w:rsidP="00A41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E" w:rsidRDefault="00BE734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88" w:rsidRDefault="005E13F6">
    <w:pPr>
      <w:pStyle w:val="normal0"/>
      <w:widowControl w:val="0"/>
      <w:pBdr>
        <w:top w:val="nil"/>
        <w:left w:val="nil"/>
        <w:bottom w:val="nil"/>
        <w:right w:val="nil"/>
        <w:between w:val="nil"/>
      </w:pBdr>
      <w:jc w:val="center"/>
      <w:rPr>
        <w:rFonts w:ascii="Times New Roman" w:eastAsia="Times New Roman" w:hAnsi="Times New Roman" w:cs="Times New Roman"/>
        <w:b/>
        <w:color w:val="000000"/>
      </w:rPr>
    </w:pPr>
    <w:r>
      <w:rPr>
        <w:noProof/>
      </w:rPr>
      <w:drawing>
        <wp:anchor distT="0" distB="0" distL="114300" distR="114300" simplePos="0" relativeHeight="251658240" behindDoc="0" locked="0" layoutInCell="1" allowOverlap="1">
          <wp:simplePos x="0" y="0"/>
          <wp:positionH relativeFrom="column">
            <wp:posOffset>2613660</wp:posOffset>
          </wp:positionH>
          <wp:positionV relativeFrom="paragraph">
            <wp:posOffset>-307339</wp:posOffset>
          </wp:positionV>
          <wp:extent cx="1076325" cy="695325"/>
          <wp:effectExtent l="0" t="0" r="0" b="0"/>
          <wp:wrapSquare wrapText="bothSides" distT="0" distB="0" distL="114300" distR="114300"/>
          <wp:docPr id="1" name="image1.jpg" descr="Brasão"/>
          <wp:cNvGraphicFramePr/>
          <a:graphic xmlns:a="http://schemas.openxmlformats.org/drawingml/2006/main">
            <a:graphicData uri="http://schemas.openxmlformats.org/drawingml/2006/picture">
              <pic:pic xmlns:pic="http://schemas.openxmlformats.org/drawingml/2006/picture">
                <pic:nvPicPr>
                  <pic:cNvPr id="0" name="image1.jpg" descr="Brasão"/>
                  <pic:cNvPicPr preferRelativeResize="0"/>
                </pic:nvPicPr>
                <pic:blipFill>
                  <a:blip r:embed="rId1"/>
                  <a:srcRect/>
                  <a:stretch>
                    <a:fillRect/>
                  </a:stretch>
                </pic:blipFill>
                <pic:spPr>
                  <a:xfrm>
                    <a:off x="0" y="0"/>
                    <a:ext cx="1076325" cy="695325"/>
                  </a:xfrm>
                  <a:prstGeom prst="rect">
                    <a:avLst/>
                  </a:prstGeom>
                  <a:ln/>
                </pic:spPr>
              </pic:pic>
            </a:graphicData>
          </a:graphic>
        </wp:anchor>
      </w:drawing>
    </w:r>
  </w:p>
  <w:p w:rsidR="00A41088" w:rsidRDefault="005E13F6">
    <w:pPr>
      <w:pStyle w:val="normal0"/>
      <w:widowControl w:val="0"/>
      <w:pBdr>
        <w:top w:val="nil"/>
        <w:left w:val="nil"/>
        <w:bottom w:val="nil"/>
        <w:right w:val="nil"/>
        <w:between w:val="nil"/>
      </w:pBdr>
      <w:tabs>
        <w:tab w:val="left" w:pos="1875"/>
        <w:tab w:val="center" w:pos="4819"/>
      </w:tabs>
      <w:rPr>
        <w:rFonts w:ascii="Times New Roman" w:eastAsia="Times New Roman" w:hAnsi="Times New Roman" w:cs="Times New Roman"/>
        <w:b/>
        <w:color w:val="000000"/>
      </w:rPr>
    </w:pPr>
    <w:r>
      <w:rPr>
        <w:rFonts w:ascii="Times New Roman" w:eastAsia="Times New Roman" w:hAnsi="Times New Roman" w:cs="Times New Roman"/>
        <w:b/>
        <w:color w:val="000000"/>
      </w:rPr>
      <w:tab/>
    </w:r>
  </w:p>
  <w:p w:rsidR="00A41088" w:rsidRDefault="00A41088">
    <w:pPr>
      <w:pStyle w:val="normal0"/>
      <w:widowControl w:val="0"/>
      <w:pBdr>
        <w:top w:val="nil"/>
        <w:left w:val="nil"/>
        <w:bottom w:val="nil"/>
        <w:right w:val="nil"/>
        <w:between w:val="nil"/>
      </w:pBdr>
      <w:tabs>
        <w:tab w:val="left" w:pos="1875"/>
        <w:tab w:val="center" w:pos="4819"/>
      </w:tabs>
      <w:rPr>
        <w:rFonts w:ascii="Times New Roman" w:eastAsia="Times New Roman" w:hAnsi="Times New Roman" w:cs="Times New Roman"/>
        <w:b/>
        <w:color w:val="000000"/>
      </w:rPr>
    </w:pPr>
  </w:p>
  <w:p w:rsidR="00A41088" w:rsidRDefault="005E13F6">
    <w:pPr>
      <w:pStyle w:val="normal0"/>
      <w:widowControl w:val="0"/>
      <w:pBdr>
        <w:top w:val="nil"/>
        <w:left w:val="nil"/>
        <w:bottom w:val="nil"/>
        <w:right w:val="nil"/>
        <w:between w:val="nil"/>
      </w:pBdr>
      <w:tabs>
        <w:tab w:val="left" w:pos="1875"/>
        <w:tab w:val="center" w:pos="4819"/>
      </w:tabs>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PREFEITURA MUNICIPAL DE SANTA LUZIA</w:t>
    </w:r>
  </w:p>
  <w:p w:rsidR="00A41088" w:rsidRDefault="005E13F6" w:rsidP="00BE734E">
    <w:pPr>
      <w:pStyle w:val="normal0"/>
      <w:widowControl w:val="0"/>
      <w:pBdr>
        <w:top w:val="nil"/>
        <w:left w:val="nil"/>
        <w:bottom w:val="nil"/>
        <w:right w:val="nil"/>
        <w:between w:val="nil"/>
      </w:pBdr>
      <w:jc w:val="center"/>
      <w:rPr>
        <w:color w:val="000000"/>
      </w:rPr>
    </w:pPr>
    <w:r>
      <w:rPr>
        <w:rFonts w:ascii="Times New Roman" w:eastAsia="Times New Roman" w:hAnsi="Times New Roman" w:cs="Times New Roman"/>
        <w:b/>
        <w:color w:val="000000"/>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4E" w:rsidRDefault="00BE734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6781D"/>
    <w:multiLevelType w:val="multilevel"/>
    <w:tmpl w:val="7C5C375A"/>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135D8F"/>
    <w:multiLevelType w:val="multilevel"/>
    <w:tmpl w:val="F808E192"/>
    <w:lvl w:ilvl="0">
      <w:start w:val="13"/>
      <w:numFmt w:val="decimal"/>
      <w:lvlText w:val="%1"/>
      <w:lvlJc w:val="left"/>
      <w:pPr>
        <w:ind w:left="375" w:hanging="375"/>
      </w:pPr>
      <w:rPr>
        <w:b w:val="0"/>
      </w:rPr>
    </w:lvl>
    <w:lvl w:ilvl="1">
      <w:start w:val="1"/>
      <w:numFmt w:val="decimal"/>
      <w:lvlText w:val="%1.%2"/>
      <w:lvlJc w:val="left"/>
      <w:pPr>
        <w:ind w:left="942" w:hanging="375"/>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rPr>
        <w:b w:val="0"/>
      </w:rPr>
    </w:lvl>
    <w:lvl w:ilvl="5">
      <w:start w:val="1"/>
      <w:numFmt w:val="decimal"/>
      <w:lvlText w:val="%1.%2.%3.%4.%5.%6"/>
      <w:lvlJc w:val="left"/>
      <w:pPr>
        <w:ind w:left="3915" w:hanging="1080"/>
      </w:pPr>
      <w:rPr>
        <w:b w:val="0"/>
      </w:rPr>
    </w:lvl>
    <w:lvl w:ilvl="6">
      <w:start w:val="1"/>
      <w:numFmt w:val="decimal"/>
      <w:lvlText w:val="%1.%2.%3.%4.%5.%6.%7"/>
      <w:lvlJc w:val="left"/>
      <w:pPr>
        <w:ind w:left="4842" w:hanging="1440"/>
      </w:pPr>
      <w:rPr>
        <w:b w:val="0"/>
      </w:rPr>
    </w:lvl>
    <w:lvl w:ilvl="7">
      <w:start w:val="1"/>
      <w:numFmt w:val="decimal"/>
      <w:lvlText w:val="%1.%2.%3.%4.%5.%6.%7.%8"/>
      <w:lvlJc w:val="left"/>
      <w:pPr>
        <w:ind w:left="5409" w:hanging="1440"/>
      </w:pPr>
      <w:rPr>
        <w:b w:val="0"/>
      </w:rPr>
    </w:lvl>
    <w:lvl w:ilvl="8">
      <w:start w:val="1"/>
      <w:numFmt w:val="decimal"/>
      <w:lvlText w:val="%1.%2.%3.%4.%5.%6.%7.%8.%9"/>
      <w:lvlJc w:val="left"/>
      <w:pPr>
        <w:ind w:left="6336" w:hanging="1800"/>
      </w:pPr>
      <w:rPr>
        <w:b w:val="0"/>
      </w:rPr>
    </w:lvl>
  </w:abstractNum>
  <w:abstractNum w:abstractNumId="2">
    <w:nsid w:val="652F0564"/>
    <w:multiLevelType w:val="multilevel"/>
    <w:tmpl w:val="E84EB630"/>
    <w:lvl w:ilvl="0">
      <w:start w:val="12"/>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nsid w:val="79D249D9"/>
    <w:multiLevelType w:val="multilevel"/>
    <w:tmpl w:val="B4943C6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3198" w:hanging="503"/>
      </w:pPr>
      <w:rPr>
        <w:rFonts w:ascii="Arial" w:eastAsia="Arial" w:hAnsi="Arial" w:cs="Arial"/>
        <w:b w:val="0"/>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AA6903"/>
    <w:multiLevelType w:val="multilevel"/>
    <w:tmpl w:val="AE568E40"/>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41088"/>
    <w:rsid w:val="00064373"/>
    <w:rsid w:val="00155D82"/>
    <w:rsid w:val="001B593E"/>
    <w:rsid w:val="002B4B48"/>
    <w:rsid w:val="00333A32"/>
    <w:rsid w:val="003461BD"/>
    <w:rsid w:val="00374752"/>
    <w:rsid w:val="005E13F6"/>
    <w:rsid w:val="0071225F"/>
    <w:rsid w:val="00A37712"/>
    <w:rsid w:val="00A41088"/>
    <w:rsid w:val="00B01B47"/>
    <w:rsid w:val="00B377CA"/>
    <w:rsid w:val="00B76C7B"/>
    <w:rsid w:val="00BE734E"/>
    <w:rsid w:val="00CF2B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3E"/>
  </w:style>
  <w:style w:type="paragraph" w:styleId="Ttulo1">
    <w:name w:val="heading 1"/>
    <w:basedOn w:val="normal0"/>
    <w:next w:val="normal0"/>
    <w:rsid w:val="00A41088"/>
    <w:pPr>
      <w:keepNext/>
      <w:keepLines/>
      <w:spacing w:before="480"/>
      <w:outlineLvl w:val="0"/>
    </w:pPr>
    <w:rPr>
      <w:rFonts w:ascii="Calibri" w:eastAsia="Calibri" w:hAnsi="Calibri" w:cs="Calibri"/>
      <w:b/>
      <w:color w:val="366091"/>
      <w:sz w:val="28"/>
      <w:szCs w:val="28"/>
    </w:rPr>
  </w:style>
  <w:style w:type="paragraph" w:styleId="Ttulo2">
    <w:name w:val="heading 2"/>
    <w:basedOn w:val="normal0"/>
    <w:next w:val="normal0"/>
    <w:rsid w:val="00A41088"/>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0"/>
    <w:next w:val="normal0"/>
    <w:rsid w:val="00A41088"/>
    <w:pPr>
      <w:keepNext/>
      <w:keepLines/>
      <w:spacing w:before="40" w:line="259" w:lineRule="auto"/>
      <w:outlineLvl w:val="2"/>
    </w:pPr>
    <w:rPr>
      <w:rFonts w:ascii="Calibri" w:eastAsia="Calibri" w:hAnsi="Calibri" w:cs="Calibri"/>
      <w:color w:val="243F61"/>
    </w:rPr>
  </w:style>
  <w:style w:type="paragraph" w:styleId="Ttulo4">
    <w:name w:val="heading 4"/>
    <w:basedOn w:val="normal0"/>
    <w:next w:val="normal0"/>
    <w:rsid w:val="00A41088"/>
    <w:pPr>
      <w:keepNext/>
      <w:keepLines/>
      <w:spacing w:before="40"/>
      <w:outlineLvl w:val="3"/>
    </w:pPr>
    <w:rPr>
      <w:rFonts w:ascii="Calibri" w:eastAsia="Calibri" w:hAnsi="Calibri" w:cs="Calibri"/>
      <w:i/>
      <w:color w:val="366091"/>
    </w:rPr>
  </w:style>
  <w:style w:type="paragraph" w:styleId="Ttulo5">
    <w:name w:val="heading 5"/>
    <w:basedOn w:val="normal0"/>
    <w:next w:val="normal0"/>
    <w:rsid w:val="00A41088"/>
    <w:pPr>
      <w:keepNext/>
      <w:keepLines/>
      <w:spacing w:before="220" w:after="40"/>
      <w:outlineLvl w:val="4"/>
    </w:pPr>
    <w:rPr>
      <w:b/>
      <w:sz w:val="22"/>
      <w:szCs w:val="22"/>
    </w:rPr>
  </w:style>
  <w:style w:type="paragraph" w:styleId="Ttulo6">
    <w:name w:val="heading 6"/>
    <w:basedOn w:val="normal0"/>
    <w:next w:val="normal0"/>
    <w:rsid w:val="00A41088"/>
    <w:pPr>
      <w:keepNext/>
      <w:keepLines/>
      <w:spacing w:before="40" w:line="259" w:lineRule="auto"/>
      <w:outlineLvl w:val="5"/>
    </w:pPr>
    <w:rPr>
      <w:rFonts w:ascii="Calibri" w:eastAsia="Calibri" w:hAnsi="Calibri" w:cs="Calibri"/>
      <w:color w:val="243F6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41088"/>
  </w:style>
  <w:style w:type="table" w:customStyle="1" w:styleId="TableNormal">
    <w:name w:val="Table Normal"/>
    <w:rsid w:val="00A41088"/>
    <w:tblPr>
      <w:tblCellMar>
        <w:top w:w="0" w:type="dxa"/>
        <w:left w:w="0" w:type="dxa"/>
        <w:bottom w:w="0" w:type="dxa"/>
        <w:right w:w="0" w:type="dxa"/>
      </w:tblCellMar>
    </w:tblPr>
  </w:style>
  <w:style w:type="paragraph" w:styleId="Ttulo">
    <w:name w:val="Title"/>
    <w:basedOn w:val="normal0"/>
    <w:next w:val="normal0"/>
    <w:rsid w:val="00A41088"/>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0"/>
    <w:next w:val="normal0"/>
    <w:rsid w:val="00A41088"/>
    <w:pPr>
      <w:keepNext/>
      <w:keepLines/>
      <w:spacing w:before="360" w:after="80"/>
    </w:pPr>
    <w:rPr>
      <w:rFonts w:ascii="Georgia" w:eastAsia="Georgia" w:hAnsi="Georgia" w:cs="Georgia"/>
      <w:i/>
      <w:color w:val="666666"/>
      <w:sz w:val="48"/>
      <w:szCs w:val="48"/>
    </w:rPr>
  </w:style>
  <w:style w:type="table" w:customStyle="1" w:styleId="a">
    <w:basedOn w:val="TableNormal"/>
    <w:rsid w:val="00A41088"/>
    <w:tblPr>
      <w:tblStyleRowBandSize w:val="1"/>
      <w:tblStyleColBandSize w:val="1"/>
      <w:tblCellMar>
        <w:top w:w="0" w:type="dxa"/>
        <w:left w:w="115" w:type="dxa"/>
        <w:bottom w:w="0" w:type="dxa"/>
        <w:right w:w="115" w:type="dxa"/>
      </w:tblCellMar>
    </w:tblPr>
  </w:style>
  <w:style w:type="table" w:customStyle="1" w:styleId="a0">
    <w:basedOn w:val="TableNormal"/>
    <w:rsid w:val="00A41088"/>
    <w:tblPr>
      <w:tblStyleRowBandSize w:val="1"/>
      <w:tblStyleColBandSize w:val="1"/>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E734E"/>
    <w:pPr>
      <w:tabs>
        <w:tab w:val="center" w:pos="4252"/>
        <w:tab w:val="right" w:pos="8504"/>
      </w:tabs>
    </w:pPr>
  </w:style>
  <w:style w:type="character" w:customStyle="1" w:styleId="CabealhoChar">
    <w:name w:val="Cabeçalho Char"/>
    <w:basedOn w:val="Fontepargpadro"/>
    <w:link w:val="Cabealho"/>
    <w:uiPriority w:val="99"/>
    <w:semiHidden/>
    <w:rsid w:val="00BE734E"/>
  </w:style>
  <w:style w:type="paragraph" w:styleId="Rodap">
    <w:name w:val="footer"/>
    <w:basedOn w:val="Normal"/>
    <w:link w:val="RodapChar"/>
    <w:uiPriority w:val="99"/>
    <w:semiHidden/>
    <w:unhideWhenUsed/>
    <w:rsid w:val="00BE734E"/>
    <w:pPr>
      <w:tabs>
        <w:tab w:val="center" w:pos="4252"/>
        <w:tab w:val="right" w:pos="8504"/>
      </w:tabs>
    </w:pPr>
  </w:style>
  <w:style w:type="character" w:customStyle="1" w:styleId="RodapChar">
    <w:name w:val="Rodapé Char"/>
    <w:basedOn w:val="Fontepargpadro"/>
    <w:link w:val="Rodap"/>
    <w:uiPriority w:val="99"/>
    <w:semiHidden/>
    <w:rsid w:val="00BE734E"/>
  </w:style>
  <w:style w:type="paragraph" w:customStyle="1" w:styleId="TableContents">
    <w:name w:val="Table Contents"/>
    <w:basedOn w:val="Normal"/>
    <w:rsid w:val="0071225F"/>
    <w:pPr>
      <w:widowControl w:val="0"/>
      <w:suppressLineNumbers/>
      <w:suppressAutoHyphens/>
      <w:autoSpaceDN w:val="0"/>
      <w:textAlignment w:val="baseline"/>
    </w:pPr>
    <w:rPr>
      <w:rFonts w:ascii="Times New Roman" w:eastAsia="SimSun" w:hAnsi="Times New Roman" w:cs="Tahoma"/>
      <w:kern w:val="3"/>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2/Decreto/D11246.htm" TargetMode="External"/><Relationship Id="rId18" Type="http://schemas.openxmlformats.org/officeDocument/2006/relationships/hyperlink" Target="https://www.planalto.gov.br/ccivil_03/_ato2019-2022/2022/Decreto/D11246.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leis/l5764.htm" TargetMode="External"/><Relationship Id="rId3" Type="http://schemas.openxmlformats.org/officeDocument/2006/relationships/settings" Target="settings.xml"/><Relationship Id="rId21" Type="http://schemas.openxmlformats.org/officeDocument/2006/relationships/hyperlink" Target="https://www.planalto.gov.br/ccivil_03/_ato2019-2022/2022/Decreto/D11246.htm" TargetMode="External"/><Relationship Id="rId34" Type="http://schemas.openxmlformats.org/officeDocument/2006/relationships/hyperlink" Target="https://www.gov.br/trabalho-e-previdencia/pt-br/servicos/empregador/programa-de-alimentacao-do-trabalhador-pat/arquivos-legislacao/instrucoes-normativas/pat_in_971_2009.pdf"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planalto.gov.br/ccivil_03/_ato2019-2022/2022/Decreto/D11246.htm" TargetMode="External"/><Relationship Id="rId17" Type="http://schemas.openxmlformats.org/officeDocument/2006/relationships/hyperlink" Target="https://www.planalto.gov.br/ccivil_03/_ato2019-2022/2022/Decreto/D11246.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9-2022/2021/decreto/d10880.htm" TargetMode="External"/><Relationship Id="rId38" Type="http://schemas.openxmlformats.org/officeDocument/2006/relationships/hyperlink" Target="https://www.planalto.gov.br/ccivil_03/leis/l5764.htm"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planalto.gov.br/ccivil_03/_ato2019-2022/2022/Decreto/D11246.htm" TargetMode="External"/><Relationship Id="rId20" Type="http://schemas.openxmlformats.org/officeDocument/2006/relationships/hyperlink" Target="https://www.planalto.gov.br/ccivil_03/_ato2019-2022/2022/Decreto/D11246.htm" TargetMode="External"/><Relationship Id="rId29" Type="http://schemas.openxmlformats.org/officeDocument/2006/relationships/hyperlink" Target="https://www.planalto.gov.br/ccivil_03/leis/lcp/lcp123.ht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s://www.planalto.gov.br/ccivil_03/_ato2019-2022/2022/Decreto/D11246.htm"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s://www.planalto.gov.br/ccivil_03/leis/l5764.htm" TargetMode="External"/><Relationship Id="rId40" Type="http://schemas.openxmlformats.org/officeDocument/2006/relationships/hyperlink" Target="https://www.planalto.gov.br/ccivil_03/leis/l5764.htm"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planalto.gov.br/ccivil_03/_ato2019-2022/2022/Decreto/D11246.htm"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246.htm" TargetMode="External"/><Relationship Id="rId31" Type="http://schemas.openxmlformats.org/officeDocument/2006/relationships/hyperlink" Target="https://www.gov.br/economia/pt-br/assuntos/drei/legislacao/arquivos/legislacoes-federais/indrei772020.pdf"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2/Decreto/D11246.ht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hyperlink" Target="http://leismunicipa.is/iteyh" TargetMode="External"/><Relationship Id="rId30" Type="http://schemas.openxmlformats.org/officeDocument/2006/relationships/hyperlink" Target="https://www.gov.br/empresas-e-negocios/pt-br/empreendedor" TargetMode="External"/><Relationship Id="rId35" Type="http://schemas.openxmlformats.org/officeDocument/2006/relationships/hyperlink" Target="https://www.gov.br/compras/pt-br/acesso-a-informacao/legislacao/instrucoes-normativas/instrucao-normativa-seges-me-no-116-de-21-de-dezembro-de-2021" TargetMode="External"/><Relationship Id="rId43" Type="http://schemas.openxmlformats.org/officeDocument/2006/relationships/footer" Target="footer1.xm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6090</Words>
  <Characters>32887</Characters>
  <Application>Microsoft Office Word</Application>
  <DocSecurity>0</DocSecurity>
  <Lines>274</Lines>
  <Paragraphs>77</Paragraphs>
  <ScaleCrop>false</ScaleCrop>
  <Company/>
  <LinksUpToDate>false</LinksUpToDate>
  <CharactersWithSpaces>38900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Pereira De Carvalho</dc:creator>
  <cp:lastModifiedBy>thiagopereira</cp:lastModifiedBy>
  <cp:revision>2</cp:revision>
  <cp:lastPrinted>2023-09-04T11:26:00Z</cp:lastPrinted>
  <dcterms:created xsi:type="dcterms:W3CDTF">2024-09-30T16:25:00Z</dcterms:created>
  <dcterms:modified xsi:type="dcterms:W3CDTF">2024-09-30T16:25:00Z</dcterms:modified>
</cp:coreProperties>
</file>